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4C1" w:rsidRPr="005C18B6" w:rsidRDefault="004954C1" w:rsidP="004954C1">
      <w:pPr>
        <w:tabs>
          <w:tab w:val="left" w:pos="5565"/>
        </w:tabs>
        <w:rPr>
          <w:rFonts w:ascii="Calibri" w:hAnsi="Calibri" w:cs="Calibri"/>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Default="004954C1" w:rsidP="004954C1">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954C1" w:rsidRPr="00497C57" w:rsidTr="004954C1">
        <w:trPr>
          <w:trHeight w:hRule="exact" w:val="227"/>
          <w:jc w:val="center"/>
        </w:trPr>
        <w:tc>
          <w:tcPr>
            <w:tcW w:w="47" w:type="dxa"/>
            <w:tcBorders>
              <w:top w:val="nil"/>
              <w:left w:val="nil"/>
              <w:bottom w:val="single" w:sz="4" w:space="0" w:color="auto"/>
              <w:right w:val="nil"/>
            </w:tcBorders>
            <w:shd w:val="clear" w:color="auto" w:fill="FFFFFF" w:themeFill="background1"/>
          </w:tcPr>
          <w:p w:rsidR="004954C1" w:rsidRPr="00497C57" w:rsidRDefault="004954C1" w:rsidP="004954C1">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954C1" w:rsidRPr="00497C57" w:rsidRDefault="004954C1" w:rsidP="004954C1">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954C1" w:rsidRPr="00A45B81" w:rsidRDefault="004954C1" w:rsidP="004954C1">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954C1" w:rsidRPr="00497C57" w:rsidRDefault="004954C1" w:rsidP="004954C1">
            <w:pPr>
              <w:keepNext/>
              <w:keepLines/>
              <w:rPr>
                <w:rFonts w:ascii="Calibri" w:hAnsi="Calibri" w:cs="Calibri"/>
                <w:szCs w:val="20"/>
              </w:rPr>
            </w:pPr>
          </w:p>
        </w:tc>
      </w:tr>
      <w:tr w:rsidR="004954C1" w:rsidRPr="00497C57" w:rsidTr="004954C1">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954C1" w:rsidRPr="00773A69" w:rsidRDefault="004954C1" w:rsidP="004954C1">
            <w:pPr>
              <w:keepNext/>
              <w:keepLines/>
              <w:jc w:val="center"/>
              <w:rPr>
                <w:rFonts w:ascii="Calibri" w:hAnsi="Calibri" w:cs="Calibri"/>
                <w:color w:val="CC66FF"/>
              </w:rPr>
            </w:pPr>
            <w:bookmarkStart w:id="0" w:name="w2t2212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954C1" w:rsidRPr="00497C57" w:rsidRDefault="004954C1" w:rsidP="004954C1">
            <w:pPr>
              <w:keepNext/>
              <w:keepLines/>
              <w:jc w:val="center"/>
              <w:rPr>
                <w:rFonts w:ascii="Calibri" w:hAnsi="Calibri" w:cs="Calibri"/>
                <w:szCs w:val="26"/>
              </w:rPr>
            </w:pPr>
            <w:permStart w:id="627842800" w:edGrp="everyone"/>
            <w:r>
              <w:rPr>
                <w:rFonts w:ascii="Calibri" w:hAnsi="Calibri" w:cs="Calibri"/>
                <w:szCs w:val="26"/>
              </w:rPr>
              <w:t>TCLD_ESLF_FGFPC</w:t>
            </w:r>
            <w:permEnd w:id="62784280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5" w:history="1">
              <w:r w:rsidRPr="004954C1">
                <w:rPr>
                  <w:rStyle w:val="Collegamentoipertestuale"/>
                  <w:rFonts w:ascii="Calibri" w:hAnsi="Calibri" w:cs="Calibri"/>
                  <w:szCs w:val="20"/>
                </w:rPr>
                <w:t>22126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6" w:history="1">
              <w:r w:rsidRPr="004954C1">
                <w:rPr>
                  <w:rStyle w:val="Collegamentoipertestuale"/>
                  <w:rFonts w:ascii="Calibri" w:hAnsi="Calibri" w:cs="Calibri"/>
                  <w:szCs w:val="20"/>
                </w:rPr>
                <w:t>107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43</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75</w:t>
            </w:r>
          </w:p>
        </w:tc>
        <w:tc>
          <w:tcPr>
            <w:tcW w:w="836" w:type="dxa"/>
            <w:tcBorders>
              <w:top w:val="single" w:sz="4" w:space="0" w:color="auto"/>
              <w:bottom w:val="single" w:sz="4" w:space="0" w:color="auto"/>
              <w:right w:val="single"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954C1" w:rsidRPr="00497C57" w:rsidRDefault="004954C1" w:rsidP="004954C1">
            <w:pPr>
              <w:keepNext/>
              <w:keepLines/>
              <w:jc w:val="center"/>
              <w:rPr>
                <w:rFonts w:ascii="Calibri" w:hAnsi="Calibri" w:cs="Calibri"/>
                <w:szCs w:val="20"/>
              </w:rPr>
            </w:pPr>
            <w:r>
              <w:rPr>
                <w:rFonts w:ascii="Calibri" w:hAnsi="Calibri" w:cs="Calibri"/>
                <w:szCs w:val="20"/>
              </w:rPr>
              <w:t>14241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954C1" w:rsidRPr="00497C57" w:rsidRDefault="004954C1" w:rsidP="004954C1">
            <w:pPr>
              <w:keepNext/>
              <w:keepLines/>
              <w:jc w:val="center"/>
              <w:rPr>
                <w:rFonts w:ascii="Calibri" w:hAnsi="Calibri" w:cs="Calibri"/>
                <w:szCs w:val="20"/>
              </w:rPr>
            </w:pPr>
          </w:p>
        </w:tc>
      </w:tr>
      <w:bookmarkEnd w:id="0"/>
      <w:tr w:rsidR="004954C1" w:rsidRPr="005C18B6" w:rsidTr="004954C1">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954C1" w:rsidRPr="004954C1" w:rsidRDefault="004954C1" w:rsidP="004954C1">
            <w:pPr>
              <w:pStyle w:val="TFSWorkitem3"/>
              <w:keepLines/>
              <w:rPr>
                <w:lang w:val="it-IT"/>
              </w:rPr>
            </w:pPr>
            <w:r w:rsidRPr="004954C1">
              <w:rPr>
                <w:lang w:val="it-IT"/>
              </w:rPr>
              <w:t>Feature 22126 - Gestione fondi di previdenza complementare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18760B"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99966243" w:edGrp="everyone" w:displacedByCustomXml="next"/>
        <w:sdt>
          <w:sdtPr>
            <w:rPr>
              <w:rFonts w:ascii="Calibri" w:hAnsi="Calibri" w:cs="Calibri"/>
              <w:color w:val="000000" w:themeColor="text1"/>
              <w:szCs w:val="20"/>
            </w:rPr>
            <w:id w:val="-1303072962"/>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324ECD"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79996624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954C1" w:rsidRPr="005C18B6" w:rsidRDefault="004954C1" w:rsidP="004954C1">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954C1" w:rsidRPr="005C18B6" w:rsidRDefault="004954C1" w:rsidP="004954C1">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954C1" w:rsidRPr="005C18B6" w:rsidRDefault="004954C1" w:rsidP="004954C1">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954C1" w:rsidRPr="004954C1" w:rsidRDefault="004954C1" w:rsidP="004954C1">
            <w:pPr>
              <w:keepNext/>
              <w:keepLines/>
              <w:jc w:val="center"/>
              <w:rPr>
                <w:rFonts w:ascii="Calibri" w:hAnsi="Calibri" w:cs="Calibri"/>
                <w:b/>
                <w:sz w:val="26"/>
                <w:szCs w:val="26"/>
                <w:lang w:val="it-IT"/>
              </w:rPr>
            </w:pPr>
            <w:permStart w:id="790769384" w:edGrp="everyone"/>
            <w:r w:rsidRPr="004954C1">
              <w:rPr>
                <w:rFonts w:ascii="Calibri" w:hAnsi="Calibri" w:cs="Calibri"/>
                <w:b/>
                <w:sz w:val="26"/>
                <w:szCs w:val="26"/>
                <w:lang w:val="it-IT"/>
              </w:rPr>
              <w:t>Gestione fondi di previdenza complementare</w:t>
            </w:r>
            <w:permEnd w:id="790769384"/>
          </w:p>
        </w:tc>
        <w:tc>
          <w:tcPr>
            <w:tcW w:w="58" w:type="dxa"/>
            <w:tcBorders>
              <w:top w:val="nil"/>
              <w:left w:val="nil"/>
              <w:bottom w:val="nil"/>
              <w:right w:val="single" w:sz="4" w:space="0" w:color="auto"/>
            </w:tcBorders>
            <w:tcMar>
              <w:left w:w="0" w:type="dxa"/>
              <w:right w:w="0" w:type="dxa"/>
            </w:tcMar>
          </w:tcPr>
          <w:p w:rsidR="004954C1" w:rsidRPr="004954C1" w:rsidRDefault="004954C1" w:rsidP="004954C1">
            <w:pPr>
              <w:keepNext/>
              <w:keepLines/>
              <w:rPr>
                <w:rFonts w:ascii="Calibri" w:hAnsi="Calibri" w:cs="Calibri"/>
                <w:b/>
                <w:szCs w:val="26"/>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5C18B6" w:rsidRDefault="004954C1" w:rsidP="004954C1">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Lines/>
              <w:rPr>
                <w:rFonts w:ascii="Calibri" w:hAnsi="Calibri" w:cs="Calibri"/>
                <w:szCs w:val="18"/>
              </w:rPr>
            </w:pPr>
          </w:p>
        </w:tc>
      </w:tr>
      <w:tr w:rsidR="004954C1" w:rsidRPr="005C18B6" w:rsidTr="004954C1">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954C1" w:rsidRDefault="004954C1" w:rsidP="004954C1">
            <w:pPr>
              <w:pStyle w:val="NormaleWeb"/>
              <w:spacing w:before="60" w:beforeAutospacing="0" w:after="60" w:afterAutospacing="0"/>
              <w:jc w:val="both"/>
            </w:pPr>
            <w:permStart w:id="1906602531" w:edGrp="everyone"/>
            <w:r>
              <w:rPr>
                <w:rFonts w:ascii="Tahoma" w:hAnsi="Tahoma" w:cs="Tahoma"/>
                <w:noProof/>
                <w:color w:val="000000"/>
                <w:sz w:val="18"/>
                <w:szCs w:val="18"/>
              </w:rPr>
              <w:drawing>
                <wp:inline distT="0" distB="0" distL="0" distR="0">
                  <wp:extent cx="31851600" cy="8477250"/>
                  <wp:effectExtent l="0" t="0" r="0" b="0"/>
                  <wp:docPr id="51" name="Immagine 51" descr="http://tfsprod.mef.gov.it/tfs/Cloudify-NoiPA/WorkItemTracking/v1.0/AttachFileHandler.ashx?FileNameGuid=d75c9fbe-b088-4d3a-a4b9-0a88a9245e2f&amp;FileName=TCLD_ESLF_FGFPC%20Gestione%20fondi%20di%20previdenza%20complement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tfsprod.mef.gov.it/tfs/Cloudify-NoiPA/WorkItemTracking/v1.0/AttachFileHandler.ashx?FileNameGuid=d75c9fbe-b088-4d3a-a4b9-0a88a9245e2f&amp;FileName=TCLD_ESLF_FGFPC%20Gestione%20fondi%20di%20previdenza%20complementar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851600" cy="8477250"/>
                          </a:xfrm>
                          <a:prstGeom prst="rect">
                            <a:avLst/>
                          </a:prstGeom>
                          <a:noFill/>
                          <a:ln>
                            <a:noFill/>
                          </a:ln>
                        </pic:spPr>
                      </pic:pic>
                    </a:graphicData>
                  </a:graphic>
                </wp:inline>
              </w:drawing>
            </w:r>
          </w:p>
          <w:p w:rsidR="004954C1" w:rsidRDefault="004954C1" w:rsidP="004954C1">
            <w:pPr>
              <w:pStyle w:val="NormaleWeb"/>
              <w:spacing w:before="60" w:beforeAutospacing="0" w:after="60" w:afterAutospacing="0"/>
              <w:jc w:val="both"/>
            </w:pPr>
          </w:p>
          <w:p w:rsidR="004954C1" w:rsidRPr="004954C1" w:rsidRDefault="004954C1" w:rsidP="004954C1">
            <w:pPr>
              <w:pStyle w:val="NormaleWeb"/>
              <w:spacing w:before="60" w:beforeAutospacing="0" w:after="60" w:afterAutospacing="0"/>
              <w:jc w:val="both"/>
              <w:rPr>
                <w:lang w:val="it-IT"/>
              </w:rPr>
            </w:pPr>
            <w:r w:rsidRPr="004954C1">
              <w:rPr>
                <w:lang w:val="it-IT"/>
              </w:rPr>
              <w:t>L’amministrato deve poter visualizzare le richieste inserite da enti creditori, attraverso le apposite funzionalità per questi ultimi previste (ESPN - Self Service persona non fisica)</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lang w:val="it-IT"/>
              </w:rPr>
              <w:t> </w:t>
            </w:r>
          </w:p>
          <w:p w:rsidR="004954C1" w:rsidRPr="004954C1" w:rsidRDefault="004954C1" w:rsidP="004954C1">
            <w:pPr>
              <w:pStyle w:val="NormaleWeb"/>
              <w:spacing w:before="60" w:beforeAutospacing="0" w:after="60" w:afterAutospacing="0"/>
              <w:jc w:val="both"/>
              <w:rPr>
                <w:lang w:val="it-IT"/>
              </w:rPr>
            </w:pPr>
            <w:r w:rsidRPr="004954C1">
              <w:rPr>
                <w:lang w:val="it-IT"/>
              </w:rPr>
              <w:t>L’amministrato deve poter gestire tramite self service tutte le fasi del ciclo di vita di adesione al fondo quali:</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Prima adesione;</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sospensione/riattivazione della contribuzione;</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variazione della percentuale aggiuntiva di contribuzione a carico del dipendente;</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estensione dell'adesione;</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trasferimento/portabilità ad altro fondo;</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richiesta di riscatto.</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lang w:val="it-IT"/>
              </w:rPr>
              <w:t> Coerentemente con quanto configurato dall’amministratore di sistema nella feature “TCLD_ECNF_FCRGF – Configurazione e  regole di gestione per fondi di previdenza complementare”, devono essere prospettate le informazioni rispetto alle esigenze trasversali o specifiche per un fondo. </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rStyle w:val="Enfasigrassetto"/>
                <w:lang w:val="it-IT"/>
              </w:rPr>
              <w:t>Adesione</w:t>
            </w:r>
          </w:p>
          <w:p w:rsidR="004954C1" w:rsidRPr="004954C1" w:rsidRDefault="004954C1" w:rsidP="004954C1">
            <w:pPr>
              <w:pStyle w:val="NormaleWeb"/>
              <w:spacing w:before="60" w:beforeAutospacing="0" w:after="60" w:afterAutospacing="0"/>
              <w:jc w:val="both"/>
              <w:rPr>
                <w:lang w:val="it-IT"/>
              </w:rPr>
            </w:pPr>
            <w:r w:rsidRPr="004954C1">
              <w:rPr>
                <w:lang w:val="it-IT"/>
              </w:rPr>
              <w:t>In base a quanto configurato nella feature “TCLD_ECNF_FCRGF – Configurazione e regole di gestione per fondi di previdenza complementare”, il sistema consente all’amministrato di procedere all’adesione al fondo di previdenza in riferimento al/ai rapporto/i di lavoro attivo/i </w:t>
            </w:r>
          </w:p>
          <w:p w:rsidR="004954C1" w:rsidRPr="004954C1" w:rsidRDefault="004954C1" w:rsidP="004954C1">
            <w:pPr>
              <w:pStyle w:val="NormaleWeb"/>
              <w:spacing w:before="60" w:beforeAutospacing="0" w:after="60" w:afterAutospacing="0"/>
              <w:jc w:val="both"/>
              <w:rPr>
                <w:lang w:val="it-IT"/>
              </w:rPr>
            </w:pPr>
            <w:r w:rsidRPr="004954C1">
              <w:rPr>
                <w:lang w:val="it-IT"/>
              </w:rPr>
              <w:t>Nel caso in cui i rapporti di lavoro attivi afferiscano a fondi differenti, l’amministrato deve poter procedere con l’adesione a uno o più fondi in base ai rapporti di lavoro di riferimento. In caso di più rapporti di lavoro che afferiscano allo stesso fondo, l’amministrato deve poter decidere su quale fondo procedere con l’adesione.</w:t>
            </w:r>
          </w:p>
          <w:p w:rsidR="004954C1" w:rsidRPr="004954C1" w:rsidRDefault="004954C1" w:rsidP="004954C1">
            <w:pPr>
              <w:pStyle w:val="NormaleWeb"/>
              <w:spacing w:before="60" w:beforeAutospacing="0" w:after="60" w:afterAutospacing="0"/>
              <w:jc w:val="both"/>
              <w:rPr>
                <w:lang w:val="it-IT"/>
              </w:rPr>
            </w:pPr>
            <w:r w:rsidRPr="004954C1">
              <w:rPr>
                <w:lang w:val="it-IT"/>
              </w:rPr>
              <w:t>Il sistema propone all’amministrato le informazioni da compilare per  procedere all’adesione,  recuperando automaticamente le informazioni già presenti a sistema, in caso contrario, l’amministrato deve poter procedere alla compilazione delle informazioni di propria competenza. </w:t>
            </w:r>
          </w:p>
          <w:p w:rsidR="004954C1" w:rsidRPr="004954C1" w:rsidRDefault="004954C1" w:rsidP="004954C1">
            <w:pPr>
              <w:pStyle w:val="NormaleWeb"/>
              <w:spacing w:before="60" w:beforeAutospacing="0" w:after="60" w:afterAutospacing="0"/>
              <w:jc w:val="both"/>
              <w:rPr>
                <w:lang w:val="it-IT"/>
              </w:rPr>
            </w:pPr>
            <w:r w:rsidRPr="004954C1">
              <w:rPr>
                <w:lang w:val="it-IT"/>
              </w:rPr>
              <w:t>Le informazioni minime previste sono le seguenti:</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Dati anagrafici e documenti di riconoscimento;</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Indirizzi;</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Recapiti;</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Dati relativi al titolo di studio;</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Dati relativi all’attività lavorativa e all’anzianità contributiva;</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Percentuale di quota aggiuntiva a carico del dipendente come configurato nell’Epica “TCLD_EGR0 - Gestione Ritenute”;</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Scelta del comparto di investimento;</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Indicazione della provenienza da altro fondo e relative informazioni;</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Informazioni del datore di lavoro;</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Accettazione delle sezioni informative </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lang w:val="it-IT"/>
              </w:rPr>
              <w:lastRenderedPageBreak/>
              <w:t>In fase di scelta della percentuale di contribuzione aggiuntiva (a carico del dipendente) il sistema deve consentire la simulazione dell’effetto economico   comprensivo delle quote obbligatorie di base per informare l’amministrato dell’importo indicativo. </w:t>
            </w:r>
          </w:p>
          <w:p w:rsidR="004954C1" w:rsidRPr="004954C1" w:rsidRDefault="004954C1" w:rsidP="004954C1">
            <w:pPr>
              <w:pStyle w:val="NormaleWeb"/>
              <w:spacing w:before="60" w:beforeAutospacing="0" w:after="60" w:afterAutospacing="0"/>
              <w:jc w:val="both"/>
              <w:rPr>
                <w:lang w:val="it-IT"/>
              </w:rPr>
            </w:pPr>
            <w:r w:rsidRPr="004954C1">
              <w:rPr>
                <w:lang w:val="it-IT"/>
              </w:rPr>
              <w:t>A conclusione del processo il sistema registrerà la richiesta adesione, inviando opportune informazioni al fondo di previdenza. Il fondo a sua volta deve comunicare a NoiPA l’accettazione o il rifiuto dell’adesione, fornendo in quest’ultimo caso  evidenza della motivazione.</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rStyle w:val="Enfasigrassetto"/>
                <w:lang w:val="it-IT"/>
              </w:rPr>
              <w:t>Trasferimento/portabilità ad altro fondo</w:t>
            </w:r>
          </w:p>
          <w:p w:rsidR="004954C1" w:rsidRPr="004954C1" w:rsidRDefault="004954C1" w:rsidP="004954C1">
            <w:pPr>
              <w:pStyle w:val="NormaleWeb"/>
              <w:spacing w:before="60" w:beforeAutospacing="0" w:after="60" w:afterAutospacing="0"/>
              <w:jc w:val="both"/>
              <w:rPr>
                <w:lang w:val="it-IT"/>
              </w:rPr>
            </w:pPr>
            <w:r w:rsidRPr="004954C1">
              <w:rPr>
                <w:lang w:val="it-IT"/>
              </w:rPr>
              <w:t>Nel caso in cui vi sia la provenienza da altro fondo e il relativo rapporto di lavoro sia gestito in NoiPA, il sistema deve prospettare tutte le informazioni relative all’adesione del fondo di provenienza consentendo all’amministrato di manifestare la propria volontà di trasferire la posizione contributiva al fondo cessionario.</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lang w:val="it-IT"/>
              </w:rPr>
              <w:t xml:space="preserve">A conclusione del processo il sistema registrerà la richiesta trasferimento/portabilità, inviando opportune informazioni al fondo di previdenza. </w:t>
            </w:r>
          </w:p>
          <w:p w:rsidR="004954C1" w:rsidRPr="004954C1" w:rsidRDefault="004954C1" w:rsidP="004954C1">
            <w:pPr>
              <w:pStyle w:val="NormaleWeb"/>
              <w:spacing w:before="60" w:beforeAutospacing="0" w:after="60" w:afterAutospacing="0"/>
              <w:jc w:val="both"/>
              <w:rPr>
                <w:lang w:val="it-IT"/>
              </w:rPr>
            </w:pPr>
            <w:r w:rsidRPr="004954C1">
              <w:rPr>
                <w:lang w:val="it-IT"/>
              </w:rPr>
              <w:t>Quando la richiesta di adesione è inviata al Fondo, il sistema deve mostrare l’indicazione “Richiesta di adesione in attesa di approvazione dal Fondo”.</w:t>
            </w:r>
          </w:p>
          <w:p w:rsidR="004954C1" w:rsidRPr="004954C1" w:rsidRDefault="004954C1" w:rsidP="004954C1">
            <w:pPr>
              <w:pStyle w:val="NormaleWeb"/>
              <w:spacing w:before="60" w:beforeAutospacing="0" w:after="60" w:afterAutospacing="0"/>
              <w:jc w:val="both"/>
              <w:rPr>
                <w:lang w:val="it-IT"/>
              </w:rPr>
            </w:pPr>
            <w:r w:rsidRPr="004954C1">
              <w:rPr>
                <w:lang w:val="it-IT"/>
              </w:rPr>
              <w:t>Il fondo a sua volta deve comunicare a NoiPA l’accettazione o il rifiuto, fornendo in quest’ultimo caso  evidenza della motivazione.</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lang w:val="it-IT"/>
              </w:rPr>
              <w:t> </w:t>
            </w:r>
          </w:p>
          <w:p w:rsidR="004954C1" w:rsidRPr="004954C1" w:rsidRDefault="004954C1" w:rsidP="004954C1">
            <w:pPr>
              <w:pStyle w:val="NormaleWeb"/>
              <w:spacing w:before="60" w:beforeAutospacing="0" w:after="60" w:afterAutospacing="0"/>
              <w:jc w:val="both"/>
              <w:rPr>
                <w:lang w:val="it-IT"/>
              </w:rPr>
            </w:pPr>
            <w:r w:rsidRPr="004954C1">
              <w:rPr>
                <w:lang w:val="it-IT"/>
              </w:rPr>
              <w:t>In caso di accettazione  da parte del fondo il sistema procede all’inserimento delle quote del fondo di previdenza complementare e ai relativi adempimenti (es. denunce mensili, versamenti, certificazioni fiscali ai fini della deducibilità). </w:t>
            </w:r>
          </w:p>
          <w:p w:rsidR="004954C1" w:rsidRPr="004954C1" w:rsidRDefault="004954C1" w:rsidP="004954C1">
            <w:pPr>
              <w:pStyle w:val="NormaleWeb"/>
              <w:spacing w:before="60" w:beforeAutospacing="0" w:after="60" w:afterAutospacing="0"/>
              <w:jc w:val="both"/>
              <w:rPr>
                <w:lang w:val="it-IT"/>
              </w:rPr>
            </w:pPr>
            <w:r w:rsidRPr="004954C1">
              <w:rPr>
                <w:lang w:val="it-IT"/>
              </w:rPr>
              <w:t>Alla ricezione dell'approvazione dal Fondo, il sistema deve rendere evidente all’amministrato la rata stipendiale a partire dalla quale verrà effettuata la prima trattenuta.</w:t>
            </w:r>
          </w:p>
          <w:p w:rsidR="004954C1" w:rsidRPr="004954C1" w:rsidRDefault="004954C1" w:rsidP="004954C1">
            <w:pPr>
              <w:pStyle w:val="NormaleWeb"/>
              <w:spacing w:before="60" w:beforeAutospacing="0" w:after="60" w:afterAutospacing="0"/>
              <w:jc w:val="both"/>
              <w:rPr>
                <w:lang w:val="it-IT"/>
              </w:rPr>
            </w:pPr>
            <w:r w:rsidRPr="004954C1">
              <w:rPr>
                <w:lang w:val="it-IT"/>
              </w:rPr>
              <w:t> </w:t>
            </w:r>
          </w:p>
          <w:p w:rsidR="004954C1" w:rsidRPr="004954C1" w:rsidRDefault="004954C1" w:rsidP="004954C1">
            <w:pPr>
              <w:pStyle w:val="NormaleWeb"/>
              <w:spacing w:before="60" w:beforeAutospacing="0" w:after="60" w:afterAutospacing="0"/>
              <w:jc w:val="both"/>
              <w:rPr>
                <w:lang w:val="it-IT"/>
              </w:rPr>
            </w:pPr>
            <w:r w:rsidRPr="004954C1">
              <w:rPr>
                <w:rStyle w:val="Enfasigrassetto"/>
                <w:lang w:val="it-IT"/>
              </w:rPr>
              <w:t>Sospensione/Riattivazione della contribuzione</w:t>
            </w:r>
          </w:p>
          <w:p w:rsidR="004954C1" w:rsidRPr="004954C1" w:rsidRDefault="004954C1" w:rsidP="004954C1">
            <w:pPr>
              <w:pStyle w:val="NormaleWeb"/>
              <w:spacing w:before="60" w:beforeAutospacing="0" w:after="60" w:afterAutospacing="0"/>
              <w:jc w:val="both"/>
              <w:rPr>
                <w:lang w:val="it-IT"/>
              </w:rPr>
            </w:pPr>
            <w:r w:rsidRPr="004954C1">
              <w:rPr>
                <w:lang w:val="it-IT"/>
              </w:rPr>
              <w:t>L’amministrato deve poter richiedere la sospensione/riattivazione della contribuzione relativa al fondo a cui aderisce.</w:t>
            </w:r>
          </w:p>
          <w:p w:rsidR="004954C1" w:rsidRPr="004954C1" w:rsidRDefault="004954C1" w:rsidP="004954C1">
            <w:pPr>
              <w:pStyle w:val="NormaleWeb"/>
              <w:spacing w:before="60" w:beforeAutospacing="0" w:after="60" w:afterAutospacing="0"/>
              <w:jc w:val="both"/>
              <w:rPr>
                <w:lang w:val="it-IT"/>
              </w:rPr>
            </w:pPr>
            <w:r w:rsidRPr="004954C1">
              <w:rPr>
                <w:lang w:val="it-IT"/>
              </w:rPr>
              <w:t>Il sistema deve sospendere/riattivare le quote del fondo di previdenza complementare, senza la necessità di approvazione da parte dello stesso. </w:t>
            </w:r>
          </w:p>
          <w:p w:rsidR="004954C1" w:rsidRPr="004954C1" w:rsidRDefault="004954C1" w:rsidP="004954C1">
            <w:pPr>
              <w:pStyle w:val="NormaleWeb"/>
              <w:spacing w:before="60" w:beforeAutospacing="0" w:after="60" w:afterAutospacing="0"/>
              <w:jc w:val="both"/>
              <w:rPr>
                <w:lang w:val="it-IT"/>
              </w:rPr>
            </w:pPr>
            <w:r w:rsidRPr="004954C1">
              <w:rPr>
                <w:lang w:val="it-IT"/>
              </w:rPr>
              <w:t>Il sistema procederà all’invio di una comunicazione verso il fondo.</w:t>
            </w:r>
          </w:p>
          <w:p w:rsidR="004954C1" w:rsidRPr="004954C1" w:rsidRDefault="004954C1" w:rsidP="004954C1">
            <w:pPr>
              <w:pStyle w:val="NormaleWeb"/>
              <w:spacing w:before="60" w:beforeAutospacing="0" w:after="60" w:afterAutospacing="0"/>
              <w:jc w:val="both"/>
              <w:rPr>
                <w:lang w:val="it-IT"/>
              </w:rPr>
            </w:pPr>
            <w:r w:rsidRPr="004954C1">
              <w:rPr>
                <w:lang w:val="it-IT"/>
              </w:rPr>
              <w:t>La sospensione riguarda sia le quote a carico del dipendente sia la quota a carico del datore di lavoro, ma non il TFR.</w:t>
            </w:r>
          </w:p>
          <w:p w:rsidR="004954C1" w:rsidRPr="004954C1" w:rsidRDefault="004954C1" w:rsidP="004954C1">
            <w:pPr>
              <w:pStyle w:val="NormaleWeb"/>
              <w:spacing w:before="60" w:beforeAutospacing="0" w:after="60" w:afterAutospacing="0"/>
              <w:jc w:val="both"/>
              <w:rPr>
                <w:lang w:val="it-IT"/>
              </w:rPr>
            </w:pPr>
            <w:r w:rsidRPr="004954C1">
              <w:rPr>
                <w:lang w:val="it-IT"/>
              </w:rPr>
              <w:t>Inoltre il sistema deve rendere evidente all’amministrato la rata stipendiale a partire dalla quale l'operazione produrrà gli effetti economici.</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rStyle w:val="Enfasigrassetto"/>
                <w:lang w:val="it-IT"/>
              </w:rPr>
              <w:t> Variazione quota aggiuntiva</w:t>
            </w:r>
          </w:p>
          <w:p w:rsidR="004954C1" w:rsidRPr="004954C1" w:rsidRDefault="004954C1" w:rsidP="004954C1">
            <w:pPr>
              <w:pStyle w:val="NormaleWeb"/>
              <w:spacing w:before="60" w:beforeAutospacing="0" w:after="60" w:afterAutospacing="0"/>
              <w:jc w:val="both"/>
              <w:rPr>
                <w:lang w:val="it-IT"/>
              </w:rPr>
            </w:pPr>
            <w:r w:rsidRPr="004954C1">
              <w:rPr>
                <w:lang w:val="it-IT"/>
              </w:rPr>
              <w:t>Il sistema deve consentire all’amministrato di variare la quota  aggiuntiva (a carico del dipendente) relativa al fondo di previdenza complementare.</w:t>
            </w:r>
          </w:p>
          <w:p w:rsidR="004954C1" w:rsidRPr="004954C1" w:rsidRDefault="004954C1" w:rsidP="004954C1">
            <w:pPr>
              <w:pStyle w:val="NormaleWeb"/>
              <w:spacing w:before="60" w:beforeAutospacing="0" w:after="60" w:afterAutospacing="0"/>
              <w:jc w:val="both"/>
              <w:rPr>
                <w:lang w:val="it-IT"/>
              </w:rPr>
            </w:pPr>
            <w:r w:rsidRPr="004954C1">
              <w:rPr>
                <w:lang w:val="it-IT"/>
              </w:rPr>
              <w:lastRenderedPageBreak/>
              <w:t>Il sistema propone all’amministrato le informazioni da compilare per procedere alla variazione ,  recuperando automaticamente le informazioni già presenti a sistema, in caso contrario, l’amministrato deve poter procedere alla compilazione delle informazioni di propria competenza. </w:t>
            </w:r>
          </w:p>
          <w:p w:rsidR="004954C1" w:rsidRPr="004954C1" w:rsidRDefault="004954C1" w:rsidP="004954C1">
            <w:pPr>
              <w:pStyle w:val="NormaleWeb"/>
              <w:spacing w:before="60" w:beforeAutospacing="0" w:after="60" w:afterAutospacing="0"/>
              <w:jc w:val="both"/>
              <w:rPr>
                <w:lang w:val="it-IT"/>
              </w:rPr>
            </w:pPr>
            <w:r w:rsidRPr="004954C1">
              <w:rPr>
                <w:lang w:val="it-IT"/>
              </w:rPr>
              <w:t>Le informazioni minime previste sono le seguenti:</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Riepilogo dei dati relativi all’adesione in essere;</w:t>
            </w:r>
          </w:p>
          <w:p w:rsidR="004954C1" w:rsidRPr="004954C1" w:rsidRDefault="004954C1" w:rsidP="004954C1">
            <w:pPr>
              <w:pStyle w:val="NormaleWeb"/>
              <w:spacing w:before="60" w:beforeAutospacing="0" w:after="60" w:afterAutospacing="0"/>
              <w:jc w:val="both"/>
              <w:rPr>
                <w:lang w:val="it-IT"/>
              </w:rPr>
            </w:pPr>
            <w:r w:rsidRPr="004954C1">
              <w:rPr>
                <w:lang w:val="it-IT"/>
              </w:rPr>
              <w:t>•</w:t>
            </w:r>
            <w:r w:rsidRPr="004954C1">
              <w:rPr>
                <w:lang w:val="it-IT"/>
              </w:rPr>
              <w:tab/>
              <w:t>Dati utili a gestire la variazione della quota.</w:t>
            </w:r>
          </w:p>
          <w:p w:rsidR="004954C1" w:rsidRPr="004954C1" w:rsidRDefault="004954C1" w:rsidP="004954C1">
            <w:pPr>
              <w:pStyle w:val="NormaleWeb"/>
              <w:spacing w:before="60" w:beforeAutospacing="0" w:after="60" w:afterAutospacing="0"/>
              <w:jc w:val="both"/>
              <w:rPr>
                <w:lang w:val="it-IT"/>
              </w:rPr>
            </w:pPr>
            <w:r w:rsidRPr="004954C1">
              <w:rPr>
                <w:lang w:val="it-IT"/>
              </w:rPr>
              <w:t>Il sistema in fase di variazione della quota aggiuntiva deve consentire la simulazione dell’effetto economico comprensivo delle quote obbligatorie di base per informare l’amministrato dell’importo indicativo. </w:t>
            </w:r>
          </w:p>
          <w:p w:rsidR="004954C1" w:rsidRPr="004954C1" w:rsidRDefault="004954C1" w:rsidP="004954C1">
            <w:pPr>
              <w:pStyle w:val="NormaleWeb"/>
              <w:spacing w:before="60" w:beforeAutospacing="0" w:after="60" w:afterAutospacing="0"/>
              <w:jc w:val="both"/>
              <w:rPr>
                <w:lang w:val="it-IT"/>
              </w:rPr>
            </w:pPr>
            <w:r w:rsidRPr="004954C1">
              <w:rPr>
                <w:lang w:val="it-IT"/>
              </w:rPr>
              <w:t>Inoltre il sistema deve rendere evidente all’amministrato la rata stipendiale a partire dalla quale verrà applicata  la variazione della quota .</w:t>
            </w:r>
          </w:p>
          <w:p w:rsidR="004954C1" w:rsidRPr="004954C1" w:rsidRDefault="004954C1" w:rsidP="004954C1">
            <w:pPr>
              <w:pStyle w:val="NormaleWeb"/>
              <w:spacing w:before="60" w:beforeAutospacing="0" w:after="60" w:afterAutospacing="0"/>
              <w:jc w:val="both"/>
              <w:rPr>
                <w:lang w:val="it-IT"/>
              </w:rPr>
            </w:pPr>
            <w:r w:rsidRPr="004954C1">
              <w:rPr>
                <w:lang w:val="it-IT"/>
              </w:rPr>
              <w:t> </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rStyle w:val="Enfasigrassetto"/>
                <w:lang w:val="it-IT"/>
              </w:rPr>
              <w:t>Richiesta di riscatto della contribuzione</w:t>
            </w:r>
          </w:p>
          <w:p w:rsidR="004954C1" w:rsidRPr="004954C1" w:rsidRDefault="004954C1" w:rsidP="004954C1">
            <w:pPr>
              <w:pStyle w:val="NormaleWeb"/>
              <w:spacing w:before="60" w:beforeAutospacing="0" w:after="60" w:afterAutospacing="0"/>
              <w:jc w:val="both"/>
              <w:rPr>
                <w:lang w:val="it-IT"/>
              </w:rPr>
            </w:pPr>
            <w:r w:rsidRPr="004954C1">
              <w:rPr>
                <w:lang w:val="it-IT"/>
              </w:rPr>
              <w:t>Il sistema propone all’amministrato il fondo abilitato per l’area contrattuale/CCNL/decreto legislativo di appartenenza per il quale ha aderito e può richiedere il riscatto. Il sistema non deve consentire la compilazione di una domanda di riscatto se non sussistono i requisiti indicati dal fondo/legge, opportunamente configurati in “TCLD_ECNF_FCRGF – Configurazione e regole di gestione per fondi di previdenza complementare”. </w:t>
            </w:r>
          </w:p>
          <w:p w:rsidR="004954C1" w:rsidRPr="004954C1" w:rsidRDefault="004954C1" w:rsidP="004954C1">
            <w:pPr>
              <w:pStyle w:val="NormaleWeb"/>
              <w:spacing w:before="60" w:beforeAutospacing="0" w:after="60" w:afterAutospacing="0"/>
              <w:jc w:val="both"/>
              <w:rPr>
                <w:lang w:val="it-IT"/>
              </w:rPr>
            </w:pPr>
            <w:r w:rsidRPr="004954C1">
              <w:rPr>
                <w:lang w:val="it-IT"/>
              </w:rPr>
              <w:t>Il sistema propone all’amministrato le informazioni da compilare per procedere con la richiesta di riscatto della contribuzione, recuperando automaticamente le informazioni già presenti a sistema, in caso contrario, l’amministrato deve poter procedere alla compilazione delle informazioni di propria competenza.</w:t>
            </w:r>
          </w:p>
          <w:p w:rsidR="004954C1" w:rsidRPr="004954C1" w:rsidRDefault="004954C1" w:rsidP="004954C1">
            <w:pPr>
              <w:pStyle w:val="NormaleWeb"/>
              <w:spacing w:before="60" w:beforeAutospacing="0" w:after="60" w:afterAutospacing="0"/>
              <w:jc w:val="both"/>
              <w:rPr>
                <w:lang w:val="it-IT"/>
              </w:rPr>
            </w:pPr>
            <w:r w:rsidRPr="004954C1">
              <w:rPr>
                <w:lang w:val="it-IT"/>
              </w:rPr>
              <w:t>A conclusione del processo il sistema registrerà la richiesta riscatto della contribuzione, inviando opportune informazioni al fondo di previdenza. Il fondo a sua volta deve comunicare a NoiPA l’accettazione o il rifiuto del riscatto della contribuzione, fornendo in quest’ultimo caso evidenza della motivazione. A seguito dell’accettazione del riscatto da parte del fondo, il sistema provvede a cessare il prelievo delle quote stipendiali e procede con i relativi adempimenti (es. indicazione del riscatto nelle denunce mensili).</w:t>
            </w:r>
          </w:p>
          <w:p w:rsidR="004954C1" w:rsidRPr="004954C1" w:rsidRDefault="004954C1" w:rsidP="004954C1">
            <w:pPr>
              <w:pStyle w:val="NormaleWeb"/>
              <w:spacing w:before="60" w:beforeAutospacing="0" w:after="60" w:afterAutospacing="0"/>
              <w:jc w:val="both"/>
              <w:rPr>
                <w:lang w:val="it-IT"/>
              </w:rPr>
            </w:pPr>
            <w:r w:rsidRPr="004954C1">
              <w:rPr>
                <w:lang w:val="it-IT"/>
              </w:rPr>
              <w:t>A seguito del riscatto all’amministrato sarà consentito di procedere ad una nuova adesione anche per il medesimo fondo qualora siano soddisfatti i requisiti per l’adesione.</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lang w:val="it-IT"/>
              </w:rPr>
              <w:t> </w:t>
            </w:r>
          </w:p>
          <w:p w:rsidR="004954C1" w:rsidRPr="004954C1" w:rsidRDefault="004954C1" w:rsidP="004954C1">
            <w:pPr>
              <w:pStyle w:val="NormaleWeb"/>
              <w:spacing w:before="60" w:beforeAutospacing="0" w:after="60" w:afterAutospacing="0"/>
              <w:jc w:val="both"/>
              <w:rPr>
                <w:lang w:val="it-IT"/>
              </w:rPr>
            </w:pPr>
            <w:r w:rsidRPr="004954C1">
              <w:rPr>
                <w:lang w:val="it-IT"/>
              </w:rPr>
              <w:t> </w:t>
            </w:r>
          </w:p>
          <w:p w:rsidR="004954C1" w:rsidRPr="004954C1" w:rsidRDefault="004954C1" w:rsidP="004954C1">
            <w:pPr>
              <w:pStyle w:val="NormaleWeb"/>
              <w:spacing w:before="60" w:beforeAutospacing="0" w:after="60" w:afterAutospacing="0"/>
              <w:jc w:val="both"/>
              <w:rPr>
                <w:lang w:val="it-IT"/>
              </w:rPr>
            </w:pPr>
            <w:r w:rsidRPr="004954C1">
              <w:rPr>
                <w:rStyle w:val="Enfasigrassetto"/>
                <w:lang w:val="it-IT"/>
              </w:rPr>
              <w:t>Estensione dell’adesione</w:t>
            </w:r>
          </w:p>
          <w:p w:rsidR="004954C1" w:rsidRPr="004954C1" w:rsidRDefault="004954C1" w:rsidP="004954C1">
            <w:pPr>
              <w:pStyle w:val="NormaleWeb"/>
              <w:spacing w:before="60" w:beforeAutospacing="0" w:after="60" w:afterAutospacing="0"/>
              <w:jc w:val="both"/>
              <w:rPr>
                <w:lang w:val="it-IT"/>
              </w:rPr>
            </w:pPr>
            <w:r w:rsidRPr="004954C1">
              <w:rPr>
                <w:lang w:val="it-IT"/>
              </w:rPr>
              <w:t>L’amministrato può procedere all’estensione dell’adesione al fondo su altri rapporti di lavoro attivi e che presentino le caratteristiche dell’adesione, come da feature “TCLD_ECNF_FCRGF – Configurazione e regole di gestione per fondi di previdenza complementare”, al fine di effettuare il medesimo prelievo delle quote. </w:t>
            </w:r>
          </w:p>
          <w:p w:rsidR="004954C1" w:rsidRPr="004954C1" w:rsidRDefault="004954C1" w:rsidP="004954C1">
            <w:pPr>
              <w:pStyle w:val="NormaleWeb"/>
              <w:spacing w:before="60" w:beforeAutospacing="0" w:after="60" w:afterAutospacing="0"/>
              <w:jc w:val="both"/>
              <w:rPr>
                <w:lang w:val="it-IT"/>
              </w:rPr>
            </w:pPr>
            <w:r w:rsidRPr="004954C1">
              <w:rPr>
                <w:lang w:val="it-IT"/>
              </w:rPr>
              <w:t>In analogia anche la variazione della quota aggiuntiva, la sospensione e la riattivazione della contribuzione dovrà essere estesa a tutti i rapporti di lavoro legati all’adesione. </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lang w:val="it-IT"/>
              </w:rPr>
              <w:t>Il sistema, per ciascuna delle funzionalità disponibili per l’amministrato deve consentire l’esportazione delle informazioni anche sulla base dei template come configurati nella feature “TCLD_ECNF_FCRGF – Configurazione e regole di gestione per fondi di previdenza complementare”,</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0" w:beforeAutospacing="0" w:after="200" w:afterAutospacing="0"/>
              <w:rPr>
                <w:lang w:val="it-IT"/>
              </w:rPr>
            </w:pPr>
            <w:r w:rsidRPr="004954C1">
              <w:rPr>
                <w:rFonts w:ascii="Calibri" w:hAnsi="Calibri"/>
                <w:b/>
                <w:bCs/>
                <w:color w:val="00B050"/>
                <w:lang w:val="it-IT"/>
              </w:rPr>
              <w:t>REQUISITI PER IL TRANSITORIO</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0" w:beforeAutospacing="0" w:after="200" w:afterAutospacing="0"/>
              <w:rPr>
                <w:lang w:val="it-IT"/>
              </w:rPr>
            </w:pPr>
            <w:r w:rsidRPr="004954C1">
              <w:rPr>
                <w:rFonts w:ascii="Calibri" w:hAnsi="Calibri"/>
                <w:b/>
                <w:bCs/>
                <w:color w:val="00B050"/>
                <w:lang w:val="it-IT"/>
              </w:rPr>
              <w:t>Rispetto all’attuale self-service AS-IS, per il transitorio sono richieste le seguenti evolutive:</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numPr>
                <w:ilvl w:val="0"/>
                <w:numId w:val="17"/>
              </w:numPr>
              <w:spacing w:before="0" w:beforeAutospacing="0" w:after="0" w:afterAutospacing="0"/>
              <w:rPr>
                <w:lang w:val="it-IT"/>
              </w:rPr>
            </w:pPr>
            <w:r w:rsidRPr="004954C1">
              <w:rPr>
                <w:b/>
                <w:bCs/>
                <w:color w:val="00B050"/>
                <w:lang w:val="it-IT"/>
              </w:rPr>
              <w:t>In fase di adesione o di modifica della percentuale di contribuzione aggiuntiva (a carico del dipendente) il sistema deve consentire la simulazione dell’effetto economico   comprensivo delle quote obbligatorie di base per informare l’amministrato dell’importo indicativo.</w:t>
            </w:r>
          </w:p>
          <w:p w:rsidR="004954C1" w:rsidRPr="004954C1" w:rsidRDefault="004954C1" w:rsidP="004954C1">
            <w:pPr>
              <w:pStyle w:val="NormaleWeb"/>
              <w:numPr>
                <w:ilvl w:val="0"/>
                <w:numId w:val="17"/>
              </w:numPr>
              <w:spacing w:before="0" w:beforeAutospacing="0" w:after="200" w:afterAutospacing="0"/>
              <w:rPr>
                <w:rFonts w:ascii="Calibri" w:hAnsi="Calibri"/>
                <w:color w:val="000000"/>
                <w:sz w:val="22"/>
                <w:szCs w:val="22"/>
                <w:lang w:val="it-IT"/>
              </w:rPr>
            </w:pPr>
            <w:r w:rsidRPr="004954C1">
              <w:rPr>
                <w:rFonts w:ascii="Calibri" w:hAnsi="Calibri"/>
                <w:b/>
                <w:bCs/>
                <w:color w:val="00B050"/>
                <w:sz w:val="22"/>
                <w:szCs w:val="22"/>
                <w:lang w:val="it-IT"/>
              </w:rPr>
              <w:t>Il sistema deve rendere evidente all’amministrato la rata stipendiale a partire dalla quale verrà effettuata la prima trattenuta o la variazione della quota. Per le operazioni sottoposte ad approvazione dal Fondo (come da requisiti sopra indicati), all'invio della richiesta il sistema dovrà mostrare l’indicazione “Richiesta di adesione in attesa di approvazione dal Fondo”. Alla ricezione dell'approvazione dal Fondo dovrà essere indicata la rata a partire dalla quale l'operazione produce gli effetti economici.</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p>
          <w:permEnd w:id="1906602531"/>
          <w:p w:rsidR="004954C1" w:rsidRPr="004954C1" w:rsidRDefault="004954C1" w:rsidP="004954C1">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4954C1" w:rsidRDefault="004954C1" w:rsidP="004954C1">
            <w:pPr>
              <w:keepLines/>
              <w:jc w:val="both"/>
              <w:rPr>
                <w:rFonts w:ascii="Calibri" w:hAnsi="Calibri" w:cs="Calibri"/>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A64A6F" w:rsidRDefault="004954C1" w:rsidP="004954C1">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954C1" w:rsidRPr="005C18B6" w:rsidRDefault="004954C1" w:rsidP="004954C1">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954C1" w:rsidRPr="005C18B6" w:rsidRDefault="004954C1" w:rsidP="004954C1">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954C1" w:rsidRPr="00AD37E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954C1" w:rsidRPr="005C18B6"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r>
      <w:tr w:rsidR="004954C1" w:rsidRPr="005C18B6" w:rsidTr="004954C1">
        <w:trPr>
          <w:trHeight w:val="170"/>
          <w:jc w:val="center"/>
        </w:trPr>
        <w:tc>
          <w:tcPr>
            <w:tcW w:w="47" w:type="dxa"/>
            <w:tcBorders>
              <w:top w:val="nil"/>
              <w:bottom w:val="single" w:sz="4" w:space="0" w:color="auto"/>
              <w:right w:val="nil"/>
            </w:tcBorders>
            <w:tcMar>
              <w:left w:w="0" w:type="dxa"/>
              <w:bottom w:w="57" w:type="dxa"/>
              <w:right w:w="0" w:type="dxa"/>
            </w:tcMar>
          </w:tcPr>
          <w:p w:rsidR="004954C1" w:rsidRPr="005C18B6" w:rsidRDefault="004954C1" w:rsidP="004954C1">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954C1" w:rsidRPr="005C18B6" w:rsidRDefault="004954C1" w:rsidP="004954C1">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60492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954C1" w:rsidRPr="005C18B6" w:rsidRDefault="004954C1" w:rsidP="004954C1">
            <w:pPr>
              <w:keepNext/>
              <w:keepLines/>
              <w:rPr>
                <w:rFonts w:ascii="Calibri" w:hAnsi="Calibri" w:cs="Calibri"/>
              </w:rPr>
            </w:pPr>
          </w:p>
        </w:tc>
      </w:tr>
    </w:tbl>
    <w:p w:rsidR="004954C1" w:rsidRPr="00426C9B" w:rsidRDefault="004954C1" w:rsidP="004954C1">
      <w:pPr>
        <w:spacing w:line="14" w:lineRule="exact"/>
        <w:contextualSpacing/>
        <w:jc w:val="center"/>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5C18B6" w:rsidRDefault="004954C1" w:rsidP="004954C1">
      <w:pPr>
        <w:rPr>
          <w:rFonts w:ascii="Calibri" w:hAnsi="Calibri" w:cs="Calibri"/>
        </w:rPr>
      </w:pPr>
    </w:p>
    <w:p w:rsidR="004954C1" w:rsidRPr="005C18B6" w:rsidRDefault="004954C1" w:rsidP="004954C1">
      <w:pPr>
        <w:rPr>
          <w:rFonts w:ascii="Calibri" w:hAnsi="Calibri" w:cs="Calibri"/>
        </w:rPr>
      </w:pPr>
      <w:permStart w:id="1366457364" w:edGrp="everyone"/>
      <w:permEnd w:id="1366457364"/>
    </w:p>
    <w:p w:rsidR="004954C1" w:rsidRPr="005C18B6" w:rsidRDefault="004954C1" w:rsidP="004954C1">
      <w:pPr>
        <w:tabs>
          <w:tab w:val="left" w:pos="5565"/>
        </w:tabs>
        <w:rPr>
          <w:rFonts w:ascii="Calibri" w:hAnsi="Calibri" w:cs="Calibri"/>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Default="004954C1" w:rsidP="004954C1">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954C1" w:rsidRPr="00497C57" w:rsidTr="004954C1">
        <w:trPr>
          <w:trHeight w:hRule="exact" w:val="227"/>
          <w:jc w:val="center"/>
        </w:trPr>
        <w:tc>
          <w:tcPr>
            <w:tcW w:w="47" w:type="dxa"/>
            <w:tcBorders>
              <w:top w:val="nil"/>
              <w:left w:val="nil"/>
              <w:bottom w:val="single" w:sz="4" w:space="0" w:color="auto"/>
              <w:right w:val="nil"/>
            </w:tcBorders>
            <w:shd w:val="clear" w:color="auto" w:fill="FFFFFF" w:themeFill="background1"/>
          </w:tcPr>
          <w:p w:rsidR="004954C1" w:rsidRPr="00497C57" w:rsidRDefault="004954C1" w:rsidP="004954C1">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954C1" w:rsidRPr="00497C57" w:rsidRDefault="004954C1" w:rsidP="004954C1">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954C1" w:rsidRPr="00A45B81" w:rsidRDefault="004954C1" w:rsidP="004954C1">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954C1" w:rsidRPr="00497C57" w:rsidRDefault="004954C1" w:rsidP="004954C1">
            <w:pPr>
              <w:keepNext/>
              <w:keepLines/>
              <w:rPr>
                <w:rFonts w:ascii="Calibri" w:hAnsi="Calibri" w:cs="Calibri"/>
                <w:szCs w:val="20"/>
              </w:rPr>
            </w:pPr>
          </w:p>
        </w:tc>
      </w:tr>
      <w:tr w:rsidR="004954C1" w:rsidRPr="00497C57" w:rsidTr="004954C1">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954C1" w:rsidRPr="00773A69" w:rsidRDefault="004954C1" w:rsidP="004954C1">
            <w:pPr>
              <w:keepNext/>
              <w:keepLines/>
              <w:jc w:val="center"/>
              <w:rPr>
                <w:rFonts w:ascii="Calibri" w:hAnsi="Calibri" w:cs="Calibri"/>
                <w:color w:val="CC66FF"/>
              </w:rPr>
            </w:pPr>
            <w:bookmarkStart w:id="1" w:name="w2t2212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954C1" w:rsidRPr="00497C57" w:rsidRDefault="004954C1" w:rsidP="004954C1">
            <w:pPr>
              <w:keepNext/>
              <w:keepLines/>
              <w:jc w:val="center"/>
              <w:rPr>
                <w:rFonts w:ascii="Calibri" w:hAnsi="Calibri" w:cs="Calibri"/>
                <w:szCs w:val="26"/>
              </w:rPr>
            </w:pPr>
            <w:permStart w:id="1676110176" w:edGrp="everyone"/>
            <w:r>
              <w:rPr>
                <w:rFonts w:ascii="Calibri" w:hAnsi="Calibri" w:cs="Calibri"/>
                <w:szCs w:val="26"/>
              </w:rPr>
              <w:t>TCLD_ESLF_FAACD</w:t>
            </w:r>
            <w:permEnd w:id="167611017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8" w:history="1">
              <w:r w:rsidRPr="004954C1">
                <w:rPr>
                  <w:rStyle w:val="Collegamentoipertestuale"/>
                  <w:rFonts w:ascii="Calibri" w:hAnsi="Calibri" w:cs="Calibri"/>
                  <w:szCs w:val="20"/>
                </w:rPr>
                <w:t>22127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9" w:history="1">
              <w:r w:rsidRPr="004954C1">
                <w:rPr>
                  <w:rStyle w:val="Collegamentoipertestuale"/>
                  <w:rFonts w:ascii="Calibri" w:hAnsi="Calibri" w:cs="Calibri"/>
                  <w:szCs w:val="20"/>
                </w:rPr>
                <w:t>76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60</w:t>
            </w:r>
          </w:p>
        </w:tc>
        <w:tc>
          <w:tcPr>
            <w:tcW w:w="836" w:type="dxa"/>
            <w:tcBorders>
              <w:top w:val="single" w:sz="4" w:space="0" w:color="auto"/>
              <w:bottom w:val="single" w:sz="4" w:space="0" w:color="auto"/>
              <w:right w:val="single"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954C1" w:rsidRPr="00497C57" w:rsidRDefault="004954C1" w:rsidP="004954C1">
            <w:pPr>
              <w:keepNext/>
              <w:keepLines/>
              <w:jc w:val="center"/>
              <w:rPr>
                <w:rFonts w:ascii="Calibri" w:hAnsi="Calibri" w:cs="Calibri"/>
                <w:szCs w:val="20"/>
              </w:rPr>
            </w:pPr>
            <w:r>
              <w:rPr>
                <w:rFonts w:ascii="Calibri" w:hAnsi="Calibri" w:cs="Calibri"/>
                <w:szCs w:val="20"/>
              </w:rPr>
              <w:t>14241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954C1" w:rsidRPr="00497C57" w:rsidRDefault="004954C1" w:rsidP="004954C1">
            <w:pPr>
              <w:keepNext/>
              <w:keepLines/>
              <w:jc w:val="center"/>
              <w:rPr>
                <w:rFonts w:ascii="Calibri" w:hAnsi="Calibri" w:cs="Calibri"/>
                <w:szCs w:val="20"/>
              </w:rPr>
            </w:pPr>
          </w:p>
        </w:tc>
      </w:tr>
      <w:bookmarkEnd w:id="1"/>
      <w:tr w:rsidR="004954C1" w:rsidRPr="005C18B6" w:rsidTr="004954C1">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954C1" w:rsidRPr="004954C1" w:rsidRDefault="004954C1" w:rsidP="004954C1">
            <w:pPr>
              <w:pStyle w:val="TFSWorkitem3"/>
              <w:keepLines/>
              <w:rPr>
                <w:lang w:val="it-IT"/>
              </w:rPr>
            </w:pPr>
            <w:r w:rsidRPr="004954C1">
              <w:rPr>
                <w:lang w:val="it-IT"/>
              </w:rPr>
              <w:t>Feature 22127 - Gestione altre delegazioni di pagamento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18760B"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22724272" w:edGrp="everyone" w:displacedByCustomXml="next"/>
        <w:sdt>
          <w:sdtPr>
            <w:rPr>
              <w:rFonts w:ascii="Calibri" w:hAnsi="Calibri" w:cs="Calibri"/>
              <w:color w:val="000000" w:themeColor="text1"/>
              <w:szCs w:val="20"/>
            </w:rPr>
            <w:id w:val="798189383"/>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324ECD"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202272427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954C1" w:rsidRPr="005C18B6" w:rsidRDefault="004954C1" w:rsidP="004954C1">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954C1" w:rsidRPr="005C18B6" w:rsidRDefault="004954C1" w:rsidP="004954C1">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954C1" w:rsidRPr="005C18B6" w:rsidRDefault="004954C1" w:rsidP="004954C1">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954C1" w:rsidRPr="004954C1" w:rsidRDefault="004954C1" w:rsidP="004954C1">
            <w:pPr>
              <w:keepNext/>
              <w:keepLines/>
              <w:jc w:val="center"/>
              <w:rPr>
                <w:rFonts w:ascii="Calibri" w:hAnsi="Calibri" w:cs="Calibri"/>
                <w:b/>
                <w:sz w:val="26"/>
                <w:szCs w:val="26"/>
                <w:lang w:val="it-IT"/>
              </w:rPr>
            </w:pPr>
            <w:permStart w:id="276237132" w:edGrp="everyone"/>
            <w:r w:rsidRPr="004954C1">
              <w:rPr>
                <w:rFonts w:ascii="Calibri" w:hAnsi="Calibri" w:cs="Calibri"/>
                <w:b/>
                <w:sz w:val="26"/>
                <w:szCs w:val="26"/>
                <w:lang w:val="it-IT"/>
              </w:rPr>
              <w:t>Gestione altre delegazioni di pagamento</w:t>
            </w:r>
            <w:permEnd w:id="276237132"/>
          </w:p>
        </w:tc>
        <w:tc>
          <w:tcPr>
            <w:tcW w:w="58" w:type="dxa"/>
            <w:tcBorders>
              <w:top w:val="nil"/>
              <w:left w:val="nil"/>
              <w:bottom w:val="nil"/>
              <w:right w:val="single" w:sz="4" w:space="0" w:color="auto"/>
            </w:tcBorders>
            <w:tcMar>
              <w:left w:w="0" w:type="dxa"/>
              <w:right w:w="0" w:type="dxa"/>
            </w:tcMar>
          </w:tcPr>
          <w:p w:rsidR="004954C1" w:rsidRPr="004954C1" w:rsidRDefault="004954C1" w:rsidP="004954C1">
            <w:pPr>
              <w:keepNext/>
              <w:keepLines/>
              <w:rPr>
                <w:rFonts w:ascii="Calibri" w:hAnsi="Calibri" w:cs="Calibri"/>
                <w:b/>
                <w:szCs w:val="26"/>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5C18B6" w:rsidRDefault="004954C1" w:rsidP="004954C1">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Lines/>
              <w:rPr>
                <w:rFonts w:ascii="Calibri" w:hAnsi="Calibri" w:cs="Calibri"/>
                <w:szCs w:val="18"/>
              </w:rPr>
            </w:pPr>
          </w:p>
        </w:tc>
      </w:tr>
      <w:tr w:rsidR="004954C1" w:rsidRPr="005C18B6" w:rsidTr="004954C1">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954C1" w:rsidRPr="004954C1" w:rsidRDefault="004954C1" w:rsidP="004954C1">
            <w:pPr>
              <w:pStyle w:val="NormaleWeb"/>
              <w:spacing w:before="60" w:beforeAutospacing="0" w:after="60" w:afterAutospacing="0"/>
              <w:jc w:val="both"/>
              <w:rPr>
                <w:lang w:val="it-IT"/>
              </w:rPr>
            </w:pPr>
            <w:permStart w:id="715940137" w:edGrp="everyone"/>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L’amministrato deve poter visualizzare le richieste inserite da enti creditori, attraverso le apposite funzionalità per questi ultimi previste (ESPN - Self Service persona non fisica)</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Attraverso tale funzionalità l’amministrato deve poter fornire o rifiutare il consenso alla richiesta pervenuta da un Ente creditore al fine di consentire il proseguimento dell’iter sotteso alla richiesta. Per facilitare l’accettazione/rifiuto il sistema deve prospettare tutte le informazioni relative alla delegazione (ad esempio: dati ente creditore, l’ammontare della ritenuta, il numero delle rate, ecc).</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L’amministrato conferma l’operazione e il sistema invia, come previsto da configurazione, i dati all’ufficio preposto. (es. ufficio responsabile trattamento economico) a fini informativi o qualora previsto a fini autorizzativi In caso di rifiuto da parte dell’ufficio l’amministrato e l’ente creditore ricevono una comunicazione con il motivo di rigetto; in caso di conferma  il processo prosegue come definito in TCLD_EGR0_FGIR0 - Gestione Inserimento Ritenute. </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Nel caso in cui la delegazione di pagamento non abbia ancora prodotto effetti economici, l’amministrato deve poter annullare la propria accettazione della delegazione di pagamento. Il sistema deve inviare una notifica all’ente creditore  coinvolto all’amministrato stesso.</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Inoltre deve essere possibile tramite le modalità self service per l’amministrato effettuare la revoca della delegazione di pagamento autonomamente come ad esempio in caso di deleghe sindacali. Il sistema deve inviare una notifica a tutti gli attori coinvolti: ufficio preposto e Ente creditore.</w:t>
            </w:r>
          </w:p>
          <w:permEnd w:id="715940137"/>
          <w:p w:rsidR="004954C1" w:rsidRPr="004954C1" w:rsidRDefault="004954C1" w:rsidP="004954C1">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4954C1" w:rsidRDefault="004954C1" w:rsidP="004954C1">
            <w:pPr>
              <w:keepLines/>
              <w:jc w:val="both"/>
              <w:rPr>
                <w:rFonts w:ascii="Calibri" w:hAnsi="Calibri" w:cs="Calibri"/>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A64A6F" w:rsidRDefault="004954C1" w:rsidP="004954C1">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954C1" w:rsidRPr="005C18B6" w:rsidRDefault="004954C1" w:rsidP="004954C1">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954C1" w:rsidRPr="005C18B6" w:rsidRDefault="004954C1" w:rsidP="004954C1">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954C1" w:rsidRPr="00AD37E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954C1" w:rsidRPr="005C18B6"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r>
      <w:tr w:rsidR="004954C1" w:rsidRPr="005C18B6" w:rsidTr="004954C1">
        <w:trPr>
          <w:trHeight w:val="170"/>
          <w:jc w:val="center"/>
        </w:trPr>
        <w:tc>
          <w:tcPr>
            <w:tcW w:w="47" w:type="dxa"/>
            <w:tcBorders>
              <w:top w:val="nil"/>
              <w:bottom w:val="single" w:sz="4" w:space="0" w:color="auto"/>
              <w:right w:val="nil"/>
            </w:tcBorders>
            <w:tcMar>
              <w:left w:w="0" w:type="dxa"/>
              <w:bottom w:w="57" w:type="dxa"/>
              <w:right w:w="0" w:type="dxa"/>
            </w:tcMar>
          </w:tcPr>
          <w:p w:rsidR="004954C1" w:rsidRPr="005C18B6" w:rsidRDefault="004954C1" w:rsidP="004954C1">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954C1" w:rsidRPr="005C18B6" w:rsidRDefault="004954C1" w:rsidP="004954C1">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60490</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954C1" w:rsidRPr="005C18B6" w:rsidRDefault="004954C1" w:rsidP="004954C1">
            <w:pPr>
              <w:keepNext/>
              <w:keepLines/>
              <w:rPr>
                <w:rFonts w:ascii="Calibri" w:hAnsi="Calibri" w:cs="Calibri"/>
              </w:rPr>
            </w:pPr>
          </w:p>
        </w:tc>
      </w:tr>
    </w:tbl>
    <w:p w:rsidR="004954C1" w:rsidRPr="00426C9B" w:rsidRDefault="004954C1" w:rsidP="004954C1">
      <w:pPr>
        <w:spacing w:line="14" w:lineRule="exact"/>
        <w:contextualSpacing/>
        <w:jc w:val="center"/>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5C18B6" w:rsidRDefault="004954C1" w:rsidP="004954C1">
      <w:pPr>
        <w:rPr>
          <w:rFonts w:ascii="Calibri" w:hAnsi="Calibri" w:cs="Calibri"/>
        </w:rPr>
      </w:pPr>
    </w:p>
    <w:p w:rsidR="004954C1" w:rsidRPr="005C18B6" w:rsidRDefault="004954C1" w:rsidP="004954C1">
      <w:pPr>
        <w:rPr>
          <w:rFonts w:ascii="Calibri" w:hAnsi="Calibri" w:cs="Calibri"/>
        </w:rPr>
      </w:pPr>
      <w:permStart w:id="1215837662" w:edGrp="everyone"/>
      <w:permEnd w:id="1215837662"/>
    </w:p>
    <w:p w:rsidR="004954C1" w:rsidRPr="005C18B6" w:rsidRDefault="004954C1" w:rsidP="004954C1">
      <w:pPr>
        <w:tabs>
          <w:tab w:val="left" w:pos="5565"/>
        </w:tabs>
        <w:rPr>
          <w:rFonts w:ascii="Calibri" w:hAnsi="Calibri" w:cs="Calibri"/>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Default="004954C1" w:rsidP="004954C1">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954C1" w:rsidRPr="00497C57" w:rsidTr="004954C1">
        <w:trPr>
          <w:trHeight w:hRule="exact" w:val="227"/>
          <w:jc w:val="center"/>
        </w:trPr>
        <w:tc>
          <w:tcPr>
            <w:tcW w:w="47" w:type="dxa"/>
            <w:tcBorders>
              <w:top w:val="nil"/>
              <w:left w:val="nil"/>
              <w:bottom w:val="single" w:sz="4" w:space="0" w:color="auto"/>
              <w:right w:val="nil"/>
            </w:tcBorders>
            <w:shd w:val="clear" w:color="auto" w:fill="FFFFFF" w:themeFill="background1"/>
          </w:tcPr>
          <w:p w:rsidR="004954C1" w:rsidRPr="00497C57" w:rsidRDefault="004954C1" w:rsidP="004954C1">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954C1" w:rsidRPr="00497C57" w:rsidRDefault="004954C1" w:rsidP="004954C1">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954C1" w:rsidRPr="00A45B81" w:rsidRDefault="004954C1" w:rsidP="004954C1">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954C1" w:rsidRPr="00497C57" w:rsidRDefault="004954C1" w:rsidP="004954C1">
            <w:pPr>
              <w:keepNext/>
              <w:keepLines/>
              <w:rPr>
                <w:rFonts w:ascii="Calibri" w:hAnsi="Calibri" w:cs="Calibri"/>
                <w:szCs w:val="20"/>
              </w:rPr>
            </w:pPr>
          </w:p>
        </w:tc>
      </w:tr>
      <w:tr w:rsidR="004954C1" w:rsidRPr="00497C57" w:rsidTr="004954C1">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954C1" w:rsidRPr="00773A69" w:rsidRDefault="004954C1" w:rsidP="004954C1">
            <w:pPr>
              <w:keepNext/>
              <w:keepLines/>
              <w:jc w:val="center"/>
              <w:rPr>
                <w:rFonts w:ascii="Calibri" w:hAnsi="Calibri" w:cs="Calibri"/>
                <w:color w:val="CC66FF"/>
              </w:rPr>
            </w:pPr>
            <w:bookmarkStart w:id="2" w:name="w2t2212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954C1" w:rsidRPr="00497C57" w:rsidRDefault="004954C1" w:rsidP="004954C1">
            <w:pPr>
              <w:keepNext/>
              <w:keepLines/>
              <w:jc w:val="center"/>
              <w:rPr>
                <w:rFonts w:ascii="Calibri" w:hAnsi="Calibri" w:cs="Calibri"/>
                <w:szCs w:val="26"/>
              </w:rPr>
            </w:pPr>
            <w:permStart w:id="1194290124" w:edGrp="everyone"/>
            <w:r>
              <w:rPr>
                <w:rFonts w:ascii="Calibri" w:hAnsi="Calibri" w:cs="Calibri"/>
                <w:szCs w:val="26"/>
              </w:rPr>
              <w:t>TCLD_ESLF_FRIDP</w:t>
            </w:r>
            <w:permEnd w:id="119429012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10" w:history="1">
              <w:r w:rsidRPr="004954C1">
                <w:rPr>
                  <w:rStyle w:val="Collegamentoipertestuale"/>
                  <w:rFonts w:ascii="Calibri" w:hAnsi="Calibri" w:cs="Calibri"/>
                  <w:szCs w:val="20"/>
                </w:rPr>
                <w:t>22128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11" w:history="1">
              <w:r w:rsidRPr="004954C1">
                <w:rPr>
                  <w:rStyle w:val="Collegamentoipertestuale"/>
                  <w:rFonts w:ascii="Calibri" w:hAnsi="Calibri" w:cs="Calibri"/>
                  <w:szCs w:val="20"/>
                </w:rPr>
                <w:t>88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60</w:t>
            </w:r>
          </w:p>
        </w:tc>
        <w:tc>
          <w:tcPr>
            <w:tcW w:w="836" w:type="dxa"/>
            <w:tcBorders>
              <w:top w:val="single" w:sz="4" w:space="0" w:color="auto"/>
              <w:bottom w:val="single" w:sz="4" w:space="0" w:color="auto"/>
              <w:right w:val="single"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954C1" w:rsidRPr="00497C57" w:rsidRDefault="004954C1" w:rsidP="004954C1">
            <w:pPr>
              <w:keepNext/>
              <w:keepLines/>
              <w:jc w:val="center"/>
              <w:rPr>
                <w:rFonts w:ascii="Calibri" w:hAnsi="Calibri" w:cs="Calibri"/>
                <w:szCs w:val="20"/>
              </w:rPr>
            </w:pPr>
            <w:r>
              <w:rPr>
                <w:rFonts w:ascii="Calibri" w:hAnsi="Calibri" w:cs="Calibri"/>
                <w:szCs w:val="20"/>
              </w:rPr>
              <w:t>14241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954C1" w:rsidRPr="00497C57" w:rsidRDefault="004954C1" w:rsidP="004954C1">
            <w:pPr>
              <w:keepNext/>
              <w:keepLines/>
              <w:jc w:val="center"/>
              <w:rPr>
                <w:rFonts w:ascii="Calibri" w:hAnsi="Calibri" w:cs="Calibri"/>
                <w:szCs w:val="20"/>
              </w:rPr>
            </w:pPr>
          </w:p>
        </w:tc>
      </w:tr>
      <w:bookmarkEnd w:id="2"/>
      <w:tr w:rsidR="004954C1" w:rsidRPr="005C18B6" w:rsidTr="004954C1">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954C1" w:rsidRPr="004954C1" w:rsidRDefault="004954C1" w:rsidP="004954C1">
            <w:pPr>
              <w:pStyle w:val="TFSWorkitem3"/>
              <w:keepLines/>
              <w:rPr>
                <w:lang w:val="it-IT"/>
              </w:rPr>
            </w:pPr>
            <w:r w:rsidRPr="004954C1">
              <w:rPr>
                <w:lang w:val="it-IT"/>
              </w:rPr>
              <w:t>Feature 22128 - Inserimento/sospensione di delegazione di pagamento volontarie da Self Service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18760B"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955926880" w:edGrp="everyone" w:displacedByCustomXml="next"/>
        <w:sdt>
          <w:sdtPr>
            <w:rPr>
              <w:rFonts w:ascii="Calibri" w:hAnsi="Calibri" w:cs="Calibri"/>
              <w:color w:val="000000" w:themeColor="text1"/>
              <w:szCs w:val="20"/>
            </w:rPr>
            <w:id w:val="-1115294185"/>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324ECD"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95592688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954C1" w:rsidRPr="005C18B6" w:rsidRDefault="004954C1" w:rsidP="004954C1">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954C1" w:rsidRPr="005C18B6" w:rsidRDefault="004954C1" w:rsidP="004954C1">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954C1" w:rsidRPr="005C18B6" w:rsidRDefault="004954C1" w:rsidP="004954C1">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954C1" w:rsidRPr="004954C1" w:rsidRDefault="004954C1" w:rsidP="004954C1">
            <w:pPr>
              <w:keepNext/>
              <w:keepLines/>
              <w:jc w:val="center"/>
              <w:rPr>
                <w:rFonts w:ascii="Calibri" w:hAnsi="Calibri" w:cs="Calibri"/>
                <w:b/>
                <w:sz w:val="26"/>
                <w:szCs w:val="26"/>
                <w:lang w:val="it-IT"/>
              </w:rPr>
            </w:pPr>
            <w:permStart w:id="1568753707" w:edGrp="everyone"/>
            <w:r w:rsidRPr="004954C1">
              <w:rPr>
                <w:rFonts w:ascii="Calibri" w:hAnsi="Calibri" w:cs="Calibri"/>
                <w:b/>
                <w:sz w:val="26"/>
                <w:szCs w:val="26"/>
                <w:lang w:val="it-IT"/>
              </w:rPr>
              <w:t>Inserimento/sospensione di delegazione di pagamento volontarie da Self Service</w:t>
            </w:r>
            <w:permEnd w:id="1568753707"/>
          </w:p>
        </w:tc>
        <w:tc>
          <w:tcPr>
            <w:tcW w:w="58" w:type="dxa"/>
            <w:tcBorders>
              <w:top w:val="nil"/>
              <w:left w:val="nil"/>
              <w:bottom w:val="nil"/>
              <w:right w:val="single" w:sz="4" w:space="0" w:color="auto"/>
            </w:tcBorders>
            <w:tcMar>
              <w:left w:w="0" w:type="dxa"/>
              <w:right w:w="0" w:type="dxa"/>
            </w:tcMar>
          </w:tcPr>
          <w:p w:rsidR="004954C1" w:rsidRPr="004954C1" w:rsidRDefault="004954C1" w:rsidP="004954C1">
            <w:pPr>
              <w:keepNext/>
              <w:keepLines/>
              <w:rPr>
                <w:rFonts w:ascii="Calibri" w:hAnsi="Calibri" w:cs="Calibri"/>
                <w:b/>
                <w:szCs w:val="26"/>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5C18B6" w:rsidRDefault="004954C1" w:rsidP="004954C1">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Lines/>
              <w:rPr>
                <w:rFonts w:ascii="Calibri" w:hAnsi="Calibri" w:cs="Calibri"/>
                <w:szCs w:val="18"/>
              </w:rPr>
            </w:pPr>
          </w:p>
        </w:tc>
      </w:tr>
      <w:tr w:rsidR="004954C1" w:rsidRPr="005C18B6" w:rsidTr="004954C1">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954C1" w:rsidRPr="004954C1" w:rsidRDefault="004954C1" w:rsidP="004954C1">
            <w:pPr>
              <w:pStyle w:val="NormaleWeb"/>
              <w:spacing w:before="60" w:beforeAutospacing="0" w:after="60" w:afterAutospacing="0"/>
              <w:jc w:val="both"/>
              <w:rPr>
                <w:lang w:val="it-IT"/>
              </w:rPr>
            </w:pPr>
            <w:permStart w:id="375090840" w:edGrp="everyone"/>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sz w:val="18"/>
                <w:szCs w:val="18"/>
                <w:lang w:val="it-IT"/>
              </w:rPr>
              <w:t xml:space="preserve">L’amministrato deve poter effettuare o sospendere  una delegazione   di pagamento a favore di un’Onlus, di un sindacato o altro beneficiario a fronte di eventi straordinari in base alle regole definite in </w:t>
            </w:r>
            <w:r w:rsidRPr="004954C1">
              <w:rPr>
                <w:rFonts w:ascii="Tahoma" w:hAnsi="Tahoma" w:cs="Tahoma"/>
                <w:i/>
                <w:iCs/>
                <w:color w:val="000000"/>
                <w:sz w:val="18"/>
                <w:szCs w:val="18"/>
                <w:lang w:val="it-IT"/>
              </w:rPr>
              <w:t>TCLD_ESLF_FCRDP - Configurazione della Richieste di delegazioni di pagamento da Self Service</w:t>
            </w:r>
            <w:r w:rsidRPr="004954C1">
              <w:rPr>
                <w:rFonts w:ascii="Tahoma" w:hAnsi="Tahoma" w:cs="Tahoma"/>
                <w:color w:val="000000"/>
                <w:sz w:val="18"/>
                <w:szCs w:val="18"/>
                <w:lang w:val="it-IT"/>
              </w:rPr>
              <w:t>. Qualora l’amministrato abbia più rapporti di lavoro con effetti economici attivi deve scegliere il rapporto di lavoro su cui effettuare o sospendere la delegazione.</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sz w:val="18"/>
                <w:szCs w:val="18"/>
                <w:lang w:val="it-IT"/>
              </w:rPr>
              <w:t xml:space="preserve">L’amministrato deve poter selezionare il soggetto delegatario e qualora necessario, come nel caso di evento straordinario, la causale associata alla delegazione. e procedere alla compilazione di tutti i dati così come definiti in feature </w:t>
            </w:r>
            <w:r w:rsidRPr="004954C1">
              <w:rPr>
                <w:rFonts w:ascii="Tahoma" w:hAnsi="Tahoma" w:cs="Tahoma"/>
                <w:i/>
                <w:iCs/>
                <w:color w:val="000000"/>
                <w:sz w:val="18"/>
                <w:szCs w:val="18"/>
                <w:lang w:val="it-IT"/>
              </w:rPr>
              <w:t xml:space="preserve">TCLD_EGR0_FGIR0 - Gestione </w:t>
            </w:r>
            <w:r w:rsidRPr="004954C1">
              <w:rPr>
                <w:rFonts w:ascii="Tahoma" w:hAnsi="Tahoma" w:cs="Tahoma"/>
                <w:i/>
                <w:iCs/>
                <w:color w:val="000000"/>
                <w:sz w:val="18"/>
                <w:szCs w:val="18"/>
                <w:lang w:val="it-IT"/>
              </w:rPr>
              <w:lastRenderedPageBreak/>
              <w:t xml:space="preserve">Inserimento Ritenute </w:t>
            </w:r>
            <w:r w:rsidRPr="004954C1">
              <w:rPr>
                <w:rFonts w:ascii="Tahoma" w:hAnsi="Tahoma" w:cs="Tahoma"/>
                <w:color w:val="000000"/>
                <w:sz w:val="18"/>
                <w:szCs w:val="18"/>
                <w:lang w:val="it-IT"/>
              </w:rPr>
              <w:t>che non siano proposti automaticamente da sistema (es: data di decorrenza di default o numero di rate =1 per eventi straordinari).</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sz w:val="18"/>
                <w:szCs w:val="18"/>
                <w:lang w:val="it-IT"/>
              </w:rPr>
              <w:t xml:space="preserve">Prima della conferma dell’operazione l’amministrato deve poter visualizzare il risultato della propria delegazione ovvero l’importo della ritenuta e l’eventuale periodo indicato con l’evidenza dell’eventuale superamento dell’eventuale quinto cedibile consentendo all’amministrato di rideterminare la delegazione. </w:t>
            </w:r>
          </w:p>
          <w:p w:rsidR="004954C1" w:rsidRPr="004954C1" w:rsidRDefault="004954C1" w:rsidP="004954C1">
            <w:pPr>
              <w:pStyle w:val="NormaleWeb"/>
              <w:spacing w:before="60" w:beforeAutospacing="0" w:after="60" w:afterAutospacing="0"/>
              <w:jc w:val="both"/>
              <w:rPr>
                <w:lang w:val="it-IT"/>
              </w:rPr>
            </w:pPr>
            <w:r w:rsidRPr="004954C1">
              <w:rPr>
                <w:lang w:val="it-IT"/>
              </w:rPr>
              <w:t> </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sz w:val="18"/>
                <w:szCs w:val="18"/>
                <w:lang w:val="it-IT"/>
              </w:rPr>
              <w:t>Alla conferma da parte dell’amministrato il processo prosegue con l’attivazione della ritenuta sullo stipendio  e degli eventuali adempimenti fiscali quali l’eventuale necessità di certificare l’importo delle ritenute sulla CU.</w:t>
            </w:r>
          </w:p>
          <w:permEnd w:id="375090840"/>
          <w:p w:rsidR="004954C1" w:rsidRPr="004954C1" w:rsidRDefault="004954C1" w:rsidP="004954C1">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4954C1" w:rsidRDefault="004954C1" w:rsidP="004954C1">
            <w:pPr>
              <w:keepLines/>
              <w:jc w:val="both"/>
              <w:rPr>
                <w:rFonts w:ascii="Calibri" w:hAnsi="Calibri" w:cs="Calibri"/>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A64A6F" w:rsidRDefault="004954C1" w:rsidP="004954C1">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954C1" w:rsidRPr="005C18B6" w:rsidRDefault="004954C1" w:rsidP="004954C1">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954C1" w:rsidRPr="005C18B6" w:rsidRDefault="004954C1" w:rsidP="004954C1">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954C1" w:rsidRPr="00AD37E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954C1" w:rsidRPr="005C18B6"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r>
      <w:tr w:rsidR="004954C1" w:rsidRPr="005C18B6" w:rsidTr="004954C1">
        <w:trPr>
          <w:trHeight w:val="170"/>
          <w:jc w:val="center"/>
        </w:trPr>
        <w:tc>
          <w:tcPr>
            <w:tcW w:w="47" w:type="dxa"/>
            <w:tcBorders>
              <w:top w:val="nil"/>
              <w:bottom w:val="single" w:sz="4" w:space="0" w:color="auto"/>
              <w:right w:val="nil"/>
            </w:tcBorders>
            <w:tcMar>
              <w:left w:w="0" w:type="dxa"/>
              <w:bottom w:w="57" w:type="dxa"/>
              <w:right w:w="0" w:type="dxa"/>
            </w:tcMar>
          </w:tcPr>
          <w:p w:rsidR="004954C1" w:rsidRPr="005C18B6" w:rsidRDefault="004954C1" w:rsidP="004954C1">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954C1" w:rsidRPr="005C18B6" w:rsidRDefault="004954C1" w:rsidP="004954C1">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60491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954C1" w:rsidRPr="005C18B6" w:rsidRDefault="004954C1" w:rsidP="004954C1">
            <w:pPr>
              <w:keepNext/>
              <w:keepLines/>
              <w:rPr>
                <w:rFonts w:ascii="Calibri" w:hAnsi="Calibri" w:cs="Calibri"/>
              </w:rPr>
            </w:pPr>
          </w:p>
        </w:tc>
      </w:tr>
    </w:tbl>
    <w:p w:rsidR="004954C1" w:rsidRPr="00426C9B" w:rsidRDefault="004954C1" w:rsidP="004954C1">
      <w:pPr>
        <w:spacing w:line="14" w:lineRule="exact"/>
        <w:contextualSpacing/>
        <w:jc w:val="center"/>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5C18B6" w:rsidRDefault="004954C1" w:rsidP="004954C1">
      <w:pPr>
        <w:rPr>
          <w:rFonts w:ascii="Calibri" w:hAnsi="Calibri" w:cs="Calibri"/>
        </w:rPr>
      </w:pPr>
    </w:p>
    <w:p w:rsidR="004954C1" w:rsidRPr="005C18B6" w:rsidRDefault="004954C1" w:rsidP="004954C1">
      <w:pPr>
        <w:rPr>
          <w:rFonts w:ascii="Calibri" w:hAnsi="Calibri" w:cs="Calibri"/>
        </w:rPr>
      </w:pPr>
      <w:permStart w:id="498885896" w:edGrp="everyone"/>
      <w:permEnd w:id="498885896"/>
    </w:p>
    <w:p w:rsidR="004954C1" w:rsidRPr="005C18B6" w:rsidRDefault="004954C1" w:rsidP="004954C1">
      <w:pPr>
        <w:tabs>
          <w:tab w:val="left" w:pos="5565"/>
        </w:tabs>
        <w:rPr>
          <w:rFonts w:ascii="Calibri" w:hAnsi="Calibri" w:cs="Calibri"/>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Default="004954C1" w:rsidP="004954C1">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954C1" w:rsidRPr="00497C57" w:rsidTr="004954C1">
        <w:trPr>
          <w:trHeight w:hRule="exact" w:val="227"/>
          <w:jc w:val="center"/>
        </w:trPr>
        <w:tc>
          <w:tcPr>
            <w:tcW w:w="47" w:type="dxa"/>
            <w:tcBorders>
              <w:top w:val="nil"/>
              <w:left w:val="nil"/>
              <w:bottom w:val="single" w:sz="4" w:space="0" w:color="auto"/>
              <w:right w:val="nil"/>
            </w:tcBorders>
            <w:shd w:val="clear" w:color="auto" w:fill="FFFFFF" w:themeFill="background1"/>
          </w:tcPr>
          <w:p w:rsidR="004954C1" w:rsidRPr="00497C57" w:rsidRDefault="004954C1" w:rsidP="004954C1">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954C1" w:rsidRPr="00497C57" w:rsidRDefault="004954C1" w:rsidP="004954C1">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954C1" w:rsidRPr="00A45B81" w:rsidRDefault="004954C1" w:rsidP="004954C1">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954C1" w:rsidRPr="00497C57" w:rsidRDefault="004954C1" w:rsidP="004954C1">
            <w:pPr>
              <w:keepNext/>
              <w:keepLines/>
              <w:rPr>
                <w:rFonts w:ascii="Calibri" w:hAnsi="Calibri" w:cs="Calibri"/>
                <w:szCs w:val="20"/>
              </w:rPr>
            </w:pPr>
          </w:p>
        </w:tc>
      </w:tr>
      <w:tr w:rsidR="004954C1" w:rsidRPr="00497C57" w:rsidTr="004954C1">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954C1" w:rsidRPr="00773A69" w:rsidRDefault="004954C1" w:rsidP="004954C1">
            <w:pPr>
              <w:keepNext/>
              <w:keepLines/>
              <w:jc w:val="center"/>
              <w:rPr>
                <w:rFonts w:ascii="Calibri" w:hAnsi="Calibri" w:cs="Calibri"/>
                <w:color w:val="CC66FF"/>
              </w:rPr>
            </w:pPr>
            <w:bookmarkStart w:id="3" w:name="w2t2212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954C1" w:rsidRPr="00497C57" w:rsidRDefault="004954C1" w:rsidP="004954C1">
            <w:pPr>
              <w:keepNext/>
              <w:keepLines/>
              <w:jc w:val="center"/>
              <w:rPr>
                <w:rFonts w:ascii="Calibri" w:hAnsi="Calibri" w:cs="Calibri"/>
                <w:szCs w:val="26"/>
              </w:rPr>
            </w:pPr>
            <w:permStart w:id="990468419" w:edGrp="everyone"/>
            <w:r>
              <w:rPr>
                <w:rFonts w:ascii="Calibri" w:hAnsi="Calibri" w:cs="Calibri"/>
                <w:szCs w:val="26"/>
              </w:rPr>
              <w:t>TCLD_ESLF_FRPPI</w:t>
            </w:r>
            <w:permEnd w:id="99046841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12" w:history="1">
              <w:r w:rsidRPr="004954C1">
                <w:rPr>
                  <w:rStyle w:val="Collegamentoipertestuale"/>
                  <w:rFonts w:ascii="Calibri" w:hAnsi="Calibri" w:cs="Calibri"/>
                  <w:szCs w:val="20"/>
                </w:rPr>
                <w:t>22129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13" w:history="1">
              <w:r w:rsidRPr="004954C1">
                <w:rPr>
                  <w:rStyle w:val="Collegamentoipertestuale"/>
                  <w:rFonts w:ascii="Calibri" w:hAnsi="Calibri" w:cs="Calibri"/>
                  <w:szCs w:val="20"/>
                </w:rPr>
                <w:t>68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63</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62</w:t>
            </w:r>
          </w:p>
        </w:tc>
        <w:tc>
          <w:tcPr>
            <w:tcW w:w="836" w:type="dxa"/>
            <w:tcBorders>
              <w:top w:val="single" w:sz="4" w:space="0" w:color="auto"/>
              <w:bottom w:val="single" w:sz="4" w:space="0" w:color="auto"/>
              <w:right w:val="single"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954C1" w:rsidRPr="00497C57" w:rsidRDefault="004954C1" w:rsidP="004954C1">
            <w:pPr>
              <w:keepNext/>
              <w:keepLines/>
              <w:jc w:val="center"/>
              <w:rPr>
                <w:rFonts w:ascii="Calibri" w:hAnsi="Calibri" w:cs="Calibri"/>
                <w:szCs w:val="20"/>
              </w:rPr>
            </w:pPr>
            <w:r>
              <w:rPr>
                <w:rFonts w:ascii="Calibri" w:hAnsi="Calibri" w:cs="Calibri"/>
                <w:szCs w:val="20"/>
              </w:rPr>
              <w:t>14241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954C1" w:rsidRPr="00497C57" w:rsidRDefault="004954C1" w:rsidP="004954C1">
            <w:pPr>
              <w:keepNext/>
              <w:keepLines/>
              <w:jc w:val="center"/>
              <w:rPr>
                <w:rFonts w:ascii="Calibri" w:hAnsi="Calibri" w:cs="Calibri"/>
                <w:szCs w:val="20"/>
              </w:rPr>
            </w:pPr>
          </w:p>
        </w:tc>
      </w:tr>
      <w:bookmarkEnd w:id="3"/>
      <w:tr w:rsidR="004954C1" w:rsidRPr="005C18B6" w:rsidTr="004954C1">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954C1" w:rsidRPr="004954C1" w:rsidRDefault="004954C1" w:rsidP="004954C1">
            <w:pPr>
              <w:pStyle w:val="TFSWorkitem3"/>
              <w:keepLines/>
              <w:rPr>
                <w:lang w:val="it-IT"/>
              </w:rPr>
            </w:pPr>
            <w:r w:rsidRPr="004954C1">
              <w:rPr>
                <w:lang w:val="it-IT"/>
              </w:rPr>
              <w:t>Feature 22129 - Invio richiesta di piccolo prestito INPS</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18760B"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101823729" w:edGrp="everyone" w:displacedByCustomXml="next"/>
        <w:sdt>
          <w:sdtPr>
            <w:rPr>
              <w:rFonts w:ascii="Calibri" w:hAnsi="Calibri" w:cs="Calibri"/>
              <w:color w:val="000000" w:themeColor="text1"/>
              <w:szCs w:val="20"/>
            </w:rPr>
            <w:id w:val="925921515"/>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324ECD"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10182372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954C1" w:rsidRPr="005C18B6" w:rsidRDefault="004954C1" w:rsidP="004954C1">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954C1" w:rsidRPr="005C18B6" w:rsidRDefault="004954C1" w:rsidP="004954C1">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954C1" w:rsidRPr="005C18B6" w:rsidRDefault="004954C1" w:rsidP="004954C1">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954C1" w:rsidRPr="004954C1" w:rsidRDefault="004954C1" w:rsidP="004954C1">
            <w:pPr>
              <w:keepNext/>
              <w:keepLines/>
              <w:jc w:val="center"/>
              <w:rPr>
                <w:rFonts w:ascii="Calibri" w:hAnsi="Calibri" w:cs="Calibri"/>
                <w:b/>
                <w:sz w:val="26"/>
                <w:szCs w:val="26"/>
                <w:lang w:val="it-IT"/>
              </w:rPr>
            </w:pPr>
            <w:permStart w:id="1028728845" w:edGrp="everyone"/>
            <w:r w:rsidRPr="004954C1">
              <w:rPr>
                <w:rFonts w:ascii="Calibri" w:hAnsi="Calibri" w:cs="Calibri"/>
                <w:b/>
                <w:sz w:val="26"/>
                <w:szCs w:val="26"/>
                <w:lang w:val="it-IT"/>
              </w:rPr>
              <w:t>Invio richiesta di piccolo prestito INPS</w:t>
            </w:r>
            <w:permEnd w:id="1028728845"/>
          </w:p>
        </w:tc>
        <w:tc>
          <w:tcPr>
            <w:tcW w:w="58" w:type="dxa"/>
            <w:tcBorders>
              <w:top w:val="nil"/>
              <w:left w:val="nil"/>
              <w:bottom w:val="nil"/>
              <w:right w:val="single" w:sz="4" w:space="0" w:color="auto"/>
            </w:tcBorders>
            <w:tcMar>
              <w:left w:w="0" w:type="dxa"/>
              <w:right w:w="0" w:type="dxa"/>
            </w:tcMar>
          </w:tcPr>
          <w:p w:rsidR="004954C1" w:rsidRPr="004954C1" w:rsidRDefault="004954C1" w:rsidP="004954C1">
            <w:pPr>
              <w:keepNext/>
              <w:keepLines/>
              <w:rPr>
                <w:rFonts w:ascii="Calibri" w:hAnsi="Calibri" w:cs="Calibri"/>
                <w:b/>
                <w:szCs w:val="26"/>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5C18B6" w:rsidRDefault="004954C1" w:rsidP="004954C1">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Lines/>
              <w:rPr>
                <w:rFonts w:ascii="Calibri" w:hAnsi="Calibri" w:cs="Calibri"/>
                <w:szCs w:val="18"/>
              </w:rPr>
            </w:pPr>
          </w:p>
        </w:tc>
      </w:tr>
      <w:tr w:rsidR="004954C1" w:rsidRPr="005C18B6" w:rsidTr="004954C1">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954C1" w:rsidRPr="004954C1" w:rsidRDefault="004954C1" w:rsidP="004954C1">
            <w:pPr>
              <w:spacing w:before="60" w:after="60"/>
              <w:jc w:val="both"/>
              <w:rPr>
                <w:lang w:val="it-IT"/>
              </w:rPr>
            </w:pPr>
            <w:permStart w:id="869080910" w:edGrp="everyone"/>
            <w:r w:rsidRPr="004954C1">
              <w:rPr>
                <w:rFonts w:ascii="Tahoma" w:hAnsi="Tahoma" w:cs="Tahoma"/>
                <w:sz w:val="18"/>
                <w:szCs w:val="18"/>
                <w:lang w:val="it-IT"/>
              </w:rPr>
              <w:t>L’amministrato deve poter inviare una richiesta di piccolo prestito nei due seguenti modi:</w:t>
            </w:r>
          </w:p>
          <w:p w:rsidR="004954C1" w:rsidRPr="004954C1" w:rsidRDefault="004954C1" w:rsidP="004954C1">
            <w:pPr>
              <w:pStyle w:val="Paragrafoelenco"/>
              <w:spacing w:before="60" w:beforeAutospacing="0" w:after="60" w:afterAutospacing="0"/>
              <w:ind w:left="720" w:hanging="360"/>
              <w:jc w:val="both"/>
              <w:rPr>
                <w:lang w:val="it-IT"/>
              </w:rPr>
            </w:pPr>
            <w:r>
              <w:rPr>
                <w:rFonts w:ascii="Symbol" w:hAnsi="Symbol"/>
                <w:sz w:val="18"/>
                <w:szCs w:val="18"/>
              </w:rPr>
              <w:t></w:t>
            </w:r>
            <w:r w:rsidRPr="004954C1">
              <w:rPr>
                <w:sz w:val="14"/>
                <w:szCs w:val="14"/>
                <w:lang w:val="it-IT"/>
              </w:rPr>
              <w:t xml:space="preserve">         </w:t>
            </w:r>
            <w:r w:rsidRPr="004954C1">
              <w:rPr>
                <w:rFonts w:ascii="Tahoma" w:hAnsi="Tahoma" w:cs="Tahoma"/>
                <w:sz w:val="18"/>
                <w:szCs w:val="18"/>
                <w:lang w:val="it-IT"/>
              </w:rPr>
              <w:t>Ricerca di una simulazione salvata precedentemente;</w:t>
            </w:r>
          </w:p>
          <w:p w:rsidR="004954C1" w:rsidRPr="004954C1" w:rsidRDefault="004954C1" w:rsidP="004954C1">
            <w:pPr>
              <w:pStyle w:val="Paragrafoelenco"/>
              <w:spacing w:before="60" w:beforeAutospacing="0" w:after="60" w:afterAutospacing="0"/>
              <w:ind w:left="720" w:hanging="360"/>
              <w:jc w:val="both"/>
              <w:rPr>
                <w:lang w:val="it-IT"/>
              </w:rPr>
            </w:pPr>
            <w:r>
              <w:rPr>
                <w:rFonts w:ascii="Symbol" w:hAnsi="Symbol"/>
                <w:sz w:val="18"/>
                <w:szCs w:val="18"/>
              </w:rPr>
              <w:t></w:t>
            </w:r>
            <w:r w:rsidRPr="004954C1">
              <w:rPr>
                <w:sz w:val="14"/>
                <w:szCs w:val="14"/>
                <w:lang w:val="it-IT"/>
              </w:rPr>
              <w:t xml:space="preserve">         </w:t>
            </w:r>
            <w:r w:rsidRPr="004954C1">
              <w:rPr>
                <w:rFonts w:ascii="Tahoma" w:hAnsi="Tahoma" w:cs="Tahoma"/>
                <w:sz w:val="18"/>
                <w:szCs w:val="18"/>
                <w:lang w:val="it-IT"/>
              </w:rPr>
              <w:t>Simulazione e invio contestuale come descritto in “</w:t>
            </w:r>
            <w:r w:rsidRPr="004954C1">
              <w:rPr>
                <w:rFonts w:ascii="Tahoma" w:hAnsi="Tahoma" w:cs="Tahoma"/>
                <w:i/>
                <w:iCs/>
                <w:sz w:val="18"/>
                <w:szCs w:val="18"/>
                <w:lang w:val="it-IT"/>
              </w:rPr>
              <w:t>TCLD_ESLF_FSPPI – Simulazione piccolo prestito Inps</w:t>
            </w:r>
            <w:r w:rsidRPr="004954C1">
              <w:rPr>
                <w:rFonts w:ascii="Tahoma" w:hAnsi="Tahoma" w:cs="Tahoma"/>
                <w:sz w:val="18"/>
                <w:szCs w:val="18"/>
                <w:lang w:val="it-IT"/>
              </w:rPr>
              <w:t>”.</w:t>
            </w:r>
          </w:p>
          <w:p w:rsidR="004954C1" w:rsidRPr="004954C1" w:rsidRDefault="004954C1" w:rsidP="004954C1">
            <w:pPr>
              <w:spacing w:before="60" w:after="60"/>
              <w:jc w:val="both"/>
              <w:rPr>
                <w:lang w:val="it-IT"/>
              </w:rPr>
            </w:pPr>
            <w:r w:rsidRPr="004954C1">
              <w:rPr>
                <w:rFonts w:ascii="Tahoma" w:hAnsi="Tahoma" w:cs="Tahoma"/>
                <w:sz w:val="18"/>
                <w:szCs w:val="18"/>
                <w:lang w:val="it-IT"/>
              </w:rPr>
              <w:t> </w:t>
            </w:r>
          </w:p>
          <w:p w:rsidR="004954C1" w:rsidRPr="004954C1" w:rsidRDefault="004954C1" w:rsidP="004954C1">
            <w:pPr>
              <w:spacing w:before="60" w:after="60"/>
              <w:jc w:val="both"/>
              <w:rPr>
                <w:lang w:val="it-IT"/>
              </w:rPr>
            </w:pPr>
            <w:r w:rsidRPr="004954C1">
              <w:rPr>
                <w:rFonts w:ascii="Tahoma" w:hAnsi="Tahoma" w:cs="Tahoma"/>
                <w:sz w:val="18"/>
                <w:szCs w:val="18"/>
                <w:lang w:val="it-IT"/>
              </w:rPr>
              <w:t>Alla conferma dell’operazione di invio il sistema effettua le seguenti verifiche:</w:t>
            </w:r>
          </w:p>
          <w:p w:rsidR="004954C1" w:rsidRPr="004954C1" w:rsidRDefault="004954C1" w:rsidP="004954C1">
            <w:pPr>
              <w:pStyle w:val="Paragrafoelenco"/>
              <w:spacing w:before="60" w:beforeAutospacing="0" w:after="60" w:afterAutospacing="0"/>
              <w:ind w:left="774" w:hanging="360"/>
              <w:jc w:val="both"/>
              <w:rPr>
                <w:lang w:val="it-IT"/>
              </w:rPr>
            </w:pPr>
            <w:r>
              <w:rPr>
                <w:rFonts w:ascii="Symbol" w:hAnsi="Symbol"/>
                <w:sz w:val="18"/>
                <w:szCs w:val="18"/>
              </w:rPr>
              <w:t></w:t>
            </w:r>
            <w:r w:rsidRPr="004954C1">
              <w:rPr>
                <w:sz w:val="14"/>
                <w:szCs w:val="14"/>
                <w:lang w:val="it-IT"/>
              </w:rPr>
              <w:t xml:space="preserve">         </w:t>
            </w:r>
            <w:r w:rsidRPr="004954C1">
              <w:rPr>
                <w:rFonts w:ascii="Tahoma" w:hAnsi="Tahoma" w:cs="Tahoma"/>
                <w:sz w:val="18"/>
                <w:szCs w:val="18"/>
                <w:lang w:val="it-IT"/>
              </w:rPr>
              <w:t>Verifica dei requisiti come configurati in “</w:t>
            </w:r>
            <w:r w:rsidRPr="004954C1">
              <w:rPr>
                <w:rFonts w:ascii="Tahoma" w:hAnsi="Tahoma" w:cs="Tahoma"/>
                <w:i/>
                <w:iCs/>
                <w:sz w:val="18"/>
                <w:szCs w:val="18"/>
                <w:lang w:val="it-IT"/>
              </w:rPr>
              <w:t>TCLE_ECNF_FCRPP – Configurazione requisiti piccolo prestito</w:t>
            </w:r>
            <w:r w:rsidRPr="004954C1">
              <w:rPr>
                <w:rFonts w:ascii="Tahoma" w:hAnsi="Tahoma" w:cs="Tahoma"/>
                <w:sz w:val="18"/>
                <w:szCs w:val="18"/>
                <w:lang w:val="it-IT"/>
              </w:rPr>
              <w:t>”;</w:t>
            </w:r>
          </w:p>
          <w:p w:rsidR="004954C1" w:rsidRPr="004954C1" w:rsidRDefault="004954C1" w:rsidP="004954C1">
            <w:pPr>
              <w:pStyle w:val="Paragrafoelenco"/>
              <w:spacing w:before="60" w:beforeAutospacing="0" w:after="60" w:afterAutospacing="0"/>
              <w:ind w:left="774" w:hanging="360"/>
              <w:jc w:val="both"/>
              <w:rPr>
                <w:lang w:val="it-IT"/>
              </w:rPr>
            </w:pPr>
            <w:r>
              <w:rPr>
                <w:rFonts w:ascii="Symbol" w:hAnsi="Symbol"/>
                <w:sz w:val="18"/>
                <w:szCs w:val="18"/>
              </w:rPr>
              <w:t></w:t>
            </w:r>
            <w:r w:rsidRPr="004954C1">
              <w:rPr>
                <w:sz w:val="14"/>
                <w:szCs w:val="14"/>
                <w:lang w:val="it-IT"/>
              </w:rPr>
              <w:t xml:space="preserve">         </w:t>
            </w:r>
            <w:r w:rsidRPr="004954C1">
              <w:rPr>
                <w:rFonts w:ascii="Tahoma" w:hAnsi="Tahoma" w:cs="Tahoma"/>
                <w:sz w:val="18"/>
                <w:szCs w:val="18"/>
                <w:lang w:val="it-IT"/>
              </w:rPr>
              <w:t>Verifica di corrispondenza con quanto configurato per la tipologia di piccolo prestito selezionato, così come configurata nella feature “</w:t>
            </w:r>
            <w:r w:rsidRPr="004954C1">
              <w:rPr>
                <w:rFonts w:ascii="Tahoma" w:hAnsi="Tahoma" w:cs="Tahoma"/>
                <w:i/>
                <w:iCs/>
                <w:sz w:val="18"/>
                <w:szCs w:val="18"/>
                <w:lang w:val="it-IT"/>
              </w:rPr>
              <w:t>TCLD_ECNF_FCTPP – Configurazione tipologia piccolo prestito</w:t>
            </w:r>
            <w:r w:rsidRPr="004954C1">
              <w:rPr>
                <w:rFonts w:ascii="Tahoma" w:hAnsi="Tahoma" w:cs="Tahoma"/>
                <w:sz w:val="18"/>
                <w:szCs w:val="18"/>
                <w:lang w:val="it-IT"/>
              </w:rPr>
              <w:t>” (Ad esempio: in caso di rinnovo: numero di rate minimo pagate; in caso di estinzione: periodo minimo che deve intercorrere tra la rata pagata e la rata di estinzione proposta; verifiche di capienza, coesistenza e presenza di assenze non ammesse).</w:t>
            </w:r>
          </w:p>
          <w:p w:rsidR="004954C1" w:rsidRPr="004954C1" w:rsidRDefault="004954C1" w:rsidP="004954C1">
            <w:pPr>
              <w:spacing w:before="60" w:after="60"/>
              <w:jc w:val="both"/>
              <w:rPr>
                <w:lang w:val="it-IT"/>
              </w:rPr>
            </w:pPr>
            <w:r w:rsidRPr="004954C1">
              <w:rPr>
                <w:rFonts w:ascii="Tahoma" w:hAnsi="Tahoma" w:cs="Tahoma"/>
                <w:sz w:val="18"/>
                <w:szCs w:val="18"/>
                <w:lang w:val="it-IT"/>
              </w:rPr>
              <w:t>In caso di non sussistenza dei requisiti o dei criteri di accettabilità il sistema segnalerà l’anomalia riscontrata.</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sz w:val="18"/>
                <w:szCs w:val="18"/>
                <w:lang w:val="it-IT"/>
              </w:rPr>
              <w:t>Se non ci sono problemi, il sistema procede alla produzione del flusso dei dati che dovranno essere trasmessi all’INPS, così come definito nel metafile associato al template relativo alla domanda di piccolo prestito, come configurato in “</w:t>
            </w:r>
            <w:r w:rsidRPr="004954C1">
              <w:rPr>
                <w:rFonts w:ascii="Tahoma" w:hAnsi="Tahoma" w:cs="Tahoma"/>
                <w:i/>
                <w:iCs/>
                <w:sz w:val="18"/>
                <w:szCs w:val="18"/>
                <w:lang w:val="it-IT"/>
              </w:rPr>
              <w:t xml:space="preserve">TCLD_ECNF_FCFPP - </w:t>
            </w:r>
            <w:r w:rsidRPr="004954C1">
              <w:rPr>
                <w:rFonts w:ascii="Tahoma" w:hAnsi="Tahoma" w:cs="Tahoma"/>
                <w:i/>
                <w:iCs/>
                <w:color w:val="212121"/>
                <w:sz w:val="18"/>
                <w:szCs w:val="18"/>
                <w:lang w:val="it-IT"/>
              </w:rPr>
              <w:t>Configurazione flussi piccolo prestito</w:t>
            </w:r>
            <w:r w:rsidRPr="004954C1">
              <w:rPr>
                <w:rFonts w:ascii="Tahoma" w:hAnsi="Tahoma" w:cs="Tahoma"/>
                <w:sz w:val="18"/>
                <w:szCs w:val="18"/>
                <w:lang w:val="it-IT"/>
              </w:rPr>
              <w:t>”.</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p>
          <w:permEnd w:id="869080910"/>
          <w:p w:rsidR="004954C1" w:rsidRPr="004954C1" w:rsidRDefault="004954C1" w:rsidP="004954C1">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4954C1" w:rsidRDefault="004954C1" w:rsidP="004954C1">
            <w:pPr>
              <w:keepLines/>
              <w:jc w:val="both"/>
              <w:rPr>
                <w:rFonts w:ascii="Calibri" w:hAnsi="Calibri" w:cs="Calibri"/>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A64A6F" w:rsidRDefault="004954C1" w:rsidP="004954C1">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954C1" w:rsidRPr="005C18B6" w:rsidRDefault="004954C1" w:rsidP="004954C1">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954C1" w:rsidRPr="005C18B6" w:rsidRDefault="004954C1" w:rsidP="004954C1">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954C1" w:rsidRPr="00AD37E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954C1" w:rsidRPr="005C18B6"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r>
      <w:tr w:rsidR="004954C1" w:rsidRPr="005C18B6" w:rsidTr="004954C1">
        <w:trPr>
          <w:trHeight w:val="170"/>
          <w:jc w:val="center"/>
        </w:trPr>
        <w:tc>
          <w:tcPr>
            <w:tcW w:w="47" w:type="dxa"/>
            <w:tcBorders>
              <w:top w:val="nil"/>
              <w:bottom w:val="single" w:sz="4" w:space="0" w:color="auto"/>
              <w:right w:val="nil"/>
            </w:tcBorders>
            <w:tcMar>
              <w:left w:w="0" w:type="dxa"/>
              <w:bottom w:w="57" w:type="dxa"/>
              <w:right w:w="0" w:type="dxa"/>
            </w:tcMar>
          </w:tcPr>
          <w:p w:rsidR="004954C1" w:rsidRPr="005C18B6" w:rsidRDefault="004954C1" w:rsidP="004954C1">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954C1" w:rsidRPr="005C18B6" w:rsidRDefault="004954C1" w:rsidP="004954C1">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58957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954C1" w:rsidRPr="005C18B6" w:rsidRDefault="004954C1" w:rsidP="004954C1">
            <w:pPr>
              <w:keepNext/>
              <w:keepLines/>
              <w:rPr>
                <w:rFonts w:ascii="Calibri" w:hAnsi="Calibri" w:cs="Calibri"/>
              </w:rPr>
            </w:pPr>
          </w:p>
        </w:tc>
      </w:tr>
    </w:tbl>
    <w:p w:rsidR="004954C1" w:rsidRPr="00426C9B" w:rsidRDefault="004954C1" w:rsidP="004954C1">
      <w:pPr>
        <w:spacing w:line="14" w:lineRule="exact"/>
        <w:contextualSpacing/>
        <w:jc w:val="center"/>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5C18B6" w:rsidRDefault="004954C1" w:rsidP="004954C1">
      <w:pPr>
        <w:rPr>
          <w:rFonts w:ascii="Calibri" w:hAnsi="Calibri" w:cs="Calibri"/>
        </w:rPr>
      </w:pPr>
    </w:p>
    <w:p w:rsidR="004954C1" w:rsidRPr="005C18B6" w:rsidRDefault="004954C1" w:rsidP="004954C1">
      <w:pPr>
        <w:rPr>
          <w:rFonts w:ascii="Calibri" w:hAnsi="Calibri" w:cs="Calibri"/>
        </w:rPr>
      </w:pPr>
      <w:permStart w:id="1828784804" w:edGrp="everyone"/>
      <w:permEnd w:id="1828784804"/>
    </w:p>
    <w:p w:rsidR="004954C1" w:rsidRPr="005C18B6" w:rsidRDefault="004954C1" w:rsidP="004954C1">
      <w:pPr>
        <w:tabs>
          <w:tab w:val="left" w:pos="5565"/>
        </w:tabs>
        <w:rPr>
          <w:rFonts w:ascii="Calibri" w:hAnsi="Calibri" w:cs="Calibri"/>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Default="004954C1" w:rsidP="004954C1">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954C1" w:rsidRPr="00497C57" w:rsidTr="004954C1">
        <w:trPr>
          <w:trHeight w:hRule="exact" w:val="227"/>
          <w:jc w:val="center"/>
        </w:trPr>
        <w:tc>
          <w:tcPr>
            <w:tcW w:w="47" w:type="dxa"/>
            <w:tcBorders>
              <w:top w:val="nil"/>
              <w:left w:val="nil"/>
              <w:bottom w:val="single" w:sz="4" w:space="0" w:color="auto"/>
              <w:right w:val="nil"/>
            </w:tcBorders>
            <w:shd w:val="clear" w:color="auto" w:fill="FFFFFF" w:themeFill="background1"/>
          </w:tcPr>
          <w:p w:rsidR="004954C1" w:rsidRPr="00497C57" w:rsidRDefault="004954C1" w:rsidP="004954C1">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954C1" w:rsidRPr="00497C57" w:rsidRDefault="004954C1" w:rsidP="004954C1">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954C1" w:rsidRPr="00A45B81" w:rsidRDefault="004954C1" w:rsidP="004954C1">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954C1" w:rsidRPr="00497C57" w:rsidRDefault="004954C1" w:rsidP="004954C1">
            <w:pPr>
              <w:keepNext/>
              <w:keepLines/>
              <w:rPr>
                <w:rFonts w:ascii="Calibri" w:hAnsi="Calibri" w:cs="Calibri"/>
                <w:szCs w:val="20"/>
              </w:rPr>
            </w:pPr>
          </w:p>
        </w:tc>
      </w:tr>
      <w:tr w:rsidR="004954C1" w:rsidRPr="00497C57" w:rsidTr="004954C1">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954C1" w:rsidRPr="00773A69" w:rsidRDefault="004954C1" w:rsidP="004954C1">
            <w:pPr>
              <w:keepNext/>
              <w:keepLines/>
              <w:jc w:val="center"/>
              <w:rPr>
                <w:rFonts w:ascii="Calibri" w:hAnsi="Calibri" w:cs="Calibri"/>
                <w:color w:val="CC66FF"/>
              </w:rPr>
            </w:pPr>
            <w:bookmarkStart w:id="4" w:name="w2t2217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954C1" w:rsidRPr="00497C57" w:rsidRDefault="004954C1" w:rsidP="004954C1">
            <w:pPr>
              <w:keepNext/>
              <w:keepLines/>
              <w:jc w:val="center"/>
              <w:rPr>
                <w:rFonts w:ascii="Calibri" w:hAnsi="Calibri" w:cs="Calibri"/>
                <w:szCs w:val="26"/>
              </w:rPr>
            </w:pPr>
            <w:permStart w:id="429607557" w:edGrp="everyone"/>
            <w:r>
              <w:rPr>
                <w:rFonts w:ascii="Calibri" w:hAnsi="Calibri" w:cs="Calibri"/>
                <w:szCs w:val="26"/>
              </w:rPr>
              <w:t>TCLD_ECNF_FCRDP</w:t>
            </w:r>
            <w:permEnd w:id="42960755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14" w:history="1">
              <w:r w:rsidRPr="004954C1">
                <w:rPr>
                  <w:rStyle w:val="Collegamentoipertestuale"/>
                  <w:rFonts w:ascii="Calibri" w:hAnsi="Calibri" w:cs="Calibri"/>
                  <w:szCs w:val="20"/>
                </w:rPr>
                <w:t>22177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15" w:history="1">
              <w:r w:rsidRPr="004954C1">
                <w:rPr>
                  <w:rStyle w:val="Collegamentoipertestuale"/>
                  <w:rFonts w:ascii="Calibri" w:hAnsi="Calibri" w:cs="Calibri"/>
                  <w:szCs w:val="20"/>
                </w:rPr>
                <w:t>75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55</w:t>
            </w:r>
          </w:p>
        </w:tc>
        <w:tc>
          <w:tcPr>
            <w:tcW w:w="836" w:type="dxa"/>
            <w:tcBorders>
              <w:top w:val="single" w:sz="4" w:space="0" w:color="auto"/>
              <w:bottom w:val="single" w:sz="4" w:space="0" w:color="auto"/>
              <w:right w:val="single"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954C1" w:rsidRPr="00497C57" w:rsidRDefault="004954C1" w:rsidP="004954C1">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954C1" w:rsidRPr="00497C57" w:rsidRDefault="004954C1" w:rsidP="004954C1">
            <w:pPr>
              <w:keepNext/>
              <w:keepLines/>
              <w:jc w:val="center"/>
              <w:rPr>
                <w:rFonts w:ascii="Calibri" w:hAnsi="Calibri" w:cs="Calibri"/>
                <w:szCs w:val="20"/>
              </w:rPr>
            </w:pPr>
          </w:p>
        </w:tc>
      </w:tr>
      <w:bookmarkEnd w:id="4"/>
      <w:tr w:rsidR="004954C1" w:rsidRPr="005C18B6" w:rsidTr="004954C1">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954C1" w:rsidRPr="004954C1" w:rsidRDefault="004954C1" w:rsidP="004954C1">
            <w:pPr>
              <w:pStyle w:val="TFSWorkitem3"/>
              <w:keepLines/>
              <w:rPr>
                <w:lang w:val="it-IT"/>
              </w:rPr>
            </w:pPr>
            <w:r w:rsidRPr="004954C1">
              <w:rPr>
                <w:lang w:val="it-IT"/>
              </w:rPr>
              <w:t>Feature 22177 - Configurazione della richieste di delegazioni di pagamento da Self Service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18760B"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93399624" w:edGrp="everyone" w:displacedByCustomXml="next"/>
        <w:sdt>
          <w:sdtPr>
            <w:rPr>
              <w:rFonts w:ascii="Calibri" w:hAnsi="Calibri" w:cs="Calibri"/>
              <w:color w:val="000000" w:themeColor="text1"/>
              <w:szCs w:val="20"/>
            </w:rPr>
            <w:id w:val="855077933"/>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324ECD"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9339962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954C1" w:rsidRPr="005C18B6" w:rsidRDefault="004954C1" w:rsidP="004954C1">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954C1" w:rsidRPr="005C18B6" w:rsidRDefault="004954C1" w:rsidP="004954C1">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954C1" w:rsidRPr="005C18B6" w:rsidRDefault="004954C1" w:rsidP="004954C1">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954C1" w:rsidRPr="004954C1" w:rsidRDefault="004954C1" w:rsidP="004954C1">
            <w:pPr>
              <w:keepNext/>
              <w:keepLines/>
              <w:jc w:val="center"/>
              <w:rPr>
                <w:rFonts w:ascii="Calibri" w:hAnsi="Calibri" w:cs="Calibri"/>
                <w:b/>
                <w:sz w:val="26"/>
                <w:szCs w:val="26"/>
                <w:lang w:val="it-IT"/>
              </w:rPr>
            </w:pPr>
            <w:permStart w:id="270032855" w:edGrp="everyone"/>
            <w:r w:rsidRPr="004954C1">
              <w:rPr>
                <w:rFonts w:ascii="Calibri" w:hAnsi="Calibri" w:cs="Calibri"/>
                <w:b/>
                <w:sz w:val="26"/>
                <w:szCs w:val="26"/>
                <w:lang w:val="it-IT"/>
              </w:rPr>
              <w:t>Configurazione della richieste di delegazioni di pagamento da Self Service</w:t>
            </w:r>
            <w:permEnd w:id="270032855"/>
          </w:p>
        </w:tc>
        <w:tc>
          <w:tcPr>
            <w:tcW w:w="58" w:type="dxa"/>
            <w:tcBorders>
              <w:top w:val="nil"/>
              <w:left w:val="nil"/>
              <w:bottom w:val="nil"/>
              <w:right w:val="single" w:sz="4" w:space="0" w:color="auto"/>
            </w:tcBorders>
            <w:tcMar>
              <w:left w:w="0" w:type="dxa"/>
              <w:right w:w="0" w:type="dxa"/>
            </w:tcMar>
          </w:tcPr>
          <w:p w:rsidR="004954C1" w:rsidRPr="004954C1" w:rsidRDefault="004954C1" w:rsidP="004954C1">
            <w:pPr>
              <w:keepNext/>
              <w:keepLines/>
              <w:rPr>
                <w:rFonts w:ascii="Calibri" w:hAnsi="Calibri" w:cs="Calibri"/>
                <w:b/>
                <w:szCs w:val="26"/>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5C18B6" w:rsidRDefault="004954C1" w:rsidP="004954C1">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Lines/>
              <w:rPr>
                <w:rFonts w:ascii="Calibri" w:hAnsi="Calibri" w:cs="Calibri"/>
                <w:szCs w:val="18"/>
              </w:rPr>
            </w:pPr>
          </w:p>
        </w:tc>
      </w:tr>
      <w:tr w:rsidR="004954C1" w:rsidRPr="005C18B6" w:rsidTr="004954C1">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954C1" w:rsidRPr="004954C1" w:rsidRDefault="004954C1" w:rsidP="004954C1">
            <w:pPr>
              <w:pStyle w:val="NormaleWeb"/>
              <w:rPr>
                <w:lang w:val="it-IT"/>
              </w:rPr>
            </w:pPr>
            <w:permStart w:id="1506942309" w:edGrp="everyone"/>
          </w:p>
          <w:p w:rsidR="004954C1" w:rsidRPr="004954C1" w:rsidRDefault="004954C1" w:rsidP="004954C1">
            <w:pPr>
              <w:pStyle w:val="NormaleWeb"/>
              <w:rPr>
                <w:lang w:val="it-IT"/>
              </w:rPr>
            </w:pPr>
            <w:r w:rsidRPr="004954C1">
              <w:rPr>
                <w:rFonts w:ascii="Tahoma" w:hAnsi="Tahoma" w:cs="Tahoma"/>
                <w:color w:val="000000"/>
                <w:sz w:val="18"/>
                <w:szCs w:val="18"/>
                <w:lang w:val="it-IT"/>
              </w:rPr>
              <w:t xml:space="preserve">L’amministratore di sistema, al fine di permettere la gestione delle richieste di delegazioni di pagamento tramite self service, deve poter configurare, per ogni tipologia di ritenuta (come definito in feature </w:t>
            </w:r>
            <w:r w:rsidRPr="004954C1">
              <w:rPr>
                <w:rFonts w:ascii="Tahoma" w:hAnsi="Tahoma" w:cs="Tahoma"/>
                <w:i/>
                <w:iCs/>
                <w:color w:val="000000"/>
                <w:sz w:val="18"/>
                <w:szCs w:val="18"/>
                <w:lang w:val="it-IT"/>
              </w:rPr>
              <w:t>TCLD_EGR0_FCTR0 - Configurazione tipologia ritenuta</w:t>
            </w:r>
            <w:r w:rsidRPr="004954C1">
              <w:rPr>
                <w:rFonts w:ascii="Tahoma" w:hAnsi="Tahoma" w:cs="Tahoma"/>
                <w:color w:val="000000"/>
                <w:sz w:val="18"/>
                <w:szCs w:val="18"/>
                <w:lang w:val="it-IT"/>
              </w:rPr>
              <w:t>) l’abilitazione al self service, gli attori coinvolti (ad esempio: amministrato, ente creditore, ecc.) e le operazioni che questi possono effettuare (ad esempio: inserimento, variazione, ecc.).</w:t>
            </w:r>
          </w:p>
          <w:permEnd w:id="1506942309"/>
          <w:p w:rsidR="004954C1" w:rsidRPr="004954C1" w:rsidRDefault="004954C1" w:rsidP="004954C1">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4954C1" w:rsidRDefault="004954C1" w:rsidP="004954C1">
            <w:pPr>
              <w:keepLines/>
              <w:jc w:val="both"/>
              <w:rPr>
                <w:rFonts w:ascii="Calibri" w:hAnsi="Calibri" w:cs="Calibri"/>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A64A6F" w:rsidRDefault="004954C1" w:rsidP="004954C1">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954C1" w:rsidRPr="005C18B6" w:rsidRDefault="004954C1" w:rsidP="004954C1">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954C1" w:rsidRPr="005C18B6" w:rsidRDefault="004954C1" w:rsidP="004954C1">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954C1" w:rsidRPr="00AD37E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954C1" w:rsidRPr="005C18B6"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r>
      <w:tr w:rsidR="004954C1" w:rsidRPr="005C18B6" w:rsidTr="004954C1">
        <w:trPr>
          <w:trHeight w:val="170"/>
          <w:jc w:val="center"/>
        </w:trPr>
        <w:tc>
          <w:tcPr>
            <w:tcW w:w="47" w:type="dxa"/>
            <w:tcBorders>
              <w:top w:val="nil"/>
              <w:bottom w:val="single" w:sz="4" w:space="0" w:color="auto"/>
              <w:right w:val="nil"/>
            </w:tcBorders>
            <w:tcMar>
              <w:left w:w="0" w:type="dxa"/>
              <w:bottom w:w="57" w:type="dxa"/>
              <w:right w:w="0" w:type="dxa"/>
            </w:tcMar>
          </w:tcPr>
          <w:p w:rsidR="004954C1" w:rsidRPr="005C18B6" w:rsidRDefault="004954C1" w:rsidP="004954C1">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954C1" w:rsidRPr="005C18B6" w:rsidRDefault="004954C1" w:rsidP="004954C1">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60667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954C1" w:rsidRPr="005C18B6" w:rsidRDefault="004954C1" w:rsidP="004954C1">
            <w:pPr>
              <w:keepNext/>
              <w:keepLines/>
              <w:rPr>
                <w:rFonts w:ascii="Calibri" w:hAnsi="Calibri" w:cs="Calibri"/>
              </w:rPr>
            </w:pPr>
          </w:p>
        </w:tc>
      </w:tr>
    </w:tbl>
    <w:p w:rsidR="004954C1" w:rsidRPr="00426C9B" w:rsidRDefault="004954C1" w:rsidP="004954C1">
      <w:pPr>
        <w:spacing w:line="14" w:lineRule="exact"/>
        <w:contextualSpacing/>
        <w:jc w:val="center"/>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5C18B6" w:rsidRDefault="004954C1" w:rsidP="004954C1">
      <w:pPr>
        <w:rPr>
          <w:rFonts w:ascii="Calibri" w:hAnsi="Calibri" w:cs="Calibri"/>
        </w:rPr>
      </w:pPr>
    </w:p>
    <w:p w:rsidR="004954C1" w:rsidRPr="005C18B6" w:rsidRDefault="004954C1" w:rsidP="004954C1">
      <w:pPr>
        <w:rPr>
          <w:rFonts w:ascii="Calibri" w:hAnsi="Calibri" w:cs="Calibri"/>
        </w:rPr>
      </w:pPr>
      <w:permStart w:id="416876788" w:edGrp="everyone"/>
      <w:permEnd w:id="416876788"/>
    </w:p>
    <w:p w:rsidR="004954C1" w:rsidRPr="005C18B6" w:rsidRDefault="004954C1" w:rsidP="004954C1">
      <w:pPr>
        <w:tabs>
          <w:tab w:val="left" w:pos="5565"/>
        </w:tabs>
        <w:rPr>
          <w:rFonts w:ascii="Calibri" w:hAnsi="Calibri" w:cs="Calibri"/>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Default="004954C1" w:rsidP="004954C1">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954C1" w:rsidRPr="00497C57" w:rsidTr="004954C1">
        <w:trPr>
          <w:trHeight w:hRule="exact" w:val="227"/>
          <w:jc w:val="center"/>
        </w:trPr>
        <w:tc>
          <w:tcPr>
            <w:tcW w:w="47" w:type="dxa"/>
            <w:tcBorders>
              <w:top w:val="nil"/>
              <w:left w:val="nil"/>
              <w:bottom w:val="single" w:sz="4" w:space="0" w:color="auto"/>
              <w:right w:val="nil"/>
            </w:tcBorders>
            <w:shd w:val="clear" w:color="auto" w:fill="FFFFFF" w:themeFill="background1"/>
          </w:tcPr>
          <w:p w:rsidR="004954C1" w:rsidRPr="00497C57" w:rsidRDefault="004954C1" w:rsidP="004954C1">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954C1" w:rsidRPr="00497C57" w:rsidRDefault="004954C1" w:rsidP="004954C1">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954C1" w:rsidRPr="00A45B81" w:rsidRDefault="004954C1" w:rsidP="004954C1">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954C1" w:rsidRPr="00497C57" w:rsidRDefault="004954C1" w:rsidP="004954C1">
            <w:pPr>
              <w:keepNext/>
              <w:keepLines/>
              <w:rPr>
                <w:rFonts w:ascii="Calibri" w:hAnsi="Calibri" w:cs="Calibri"/>
                <w:szCs w:val="20"/>
              </w:rPr>
            </w:pPr>
          </w:p>
        </w:tc>
      </w:tr>
      <w:tr w:rsidR="004954C1" w:rsidRPr="00497C57" w:rsidTr="004954C1">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954C1" w:rsidRPr="00773A69" w:rsidRDefault="004954C1" w:rsidP="004954C1">
            <w:pPr>
              <w:keepNext/>
              <w:keepLines/>
              <w:jc w:val="center"/>
              <w:rPr>
                <w:rFonts w:ascii="Calibri" w:hAnsi="Calibri" w:cs="Calibri"/>
                <w:color w:val="CC66FF"/>
              </w:rPr>
            </w:pPr>
            <w:bookmarkStart w:id="5" w:name="w2t2217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954C1" w:rsidRPr="00497C57" w:rsidRDefault="004954C1" w:rsidP="004954C1">
            <w:pPr>
              <w:keepNext/>
              <w:keepLines/>
              <w:jc w:val="center"/>
              <w:rPr>
                <w:rFonts w:ascii="Calibri" w:hAnsi="Calibri" w:cs="Calibri"/>
                <w:szCs w:val="26"/>
              </w:rPr>
            </w:pPr>
            <w:permStart w:id="924021728" w:edGrp="everyone"/>
            <w:r>
              <w:rPr>
                <w:rFonts w:ascii="Calibri" w:hAnsi="Calibri" w:cs="Calibri"/>
                <w:szCs w:val="26"/>
              </w:rPr>
              <w:t>TCLD_ECNF_FCRCF</w:t>
            </w:r>
            <w:permEnd w:id="92402172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16" w:history="1">
              <w:r w:rsidRPr="004954C1">
                <w:rPr>
                  <w:rStyle w:val="Collegamentoipertestuale"/>
                  <w:rFonts w:ascii="Calibri" w:hAnsi="Calibri" w:cs="Calibri"/>
                  <w:szCs w:val="20"/>
                </w:rPr>
                <w:t>22179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17" w:history="1">
              <w:r w:rsidRPr="004954C1">
                <w:rPr>
                  <w:rStyle w:val="Collegamentoipertestuale"/>
                  <w:rFonts w:ascii="Calibri" w:hAnsi="Calibri" w:cs="Calibri"/>
                  <w:szCs w:val="20"/>
                </w:rPr>
                <w:t>78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60</w:t>
            </w:r>
          </w:p>
        </w:tc>
        <w:tc>
          <w:tcPr>
            <w:tcW w:w="836" w:type="dxa"/>
            <w:tcBorders>
              <w:top w:val="single" w:sz="4" w:space="0" w:color="auto"/>
              <w:bottom w:val="single" w:sz="4" w:space="0" w:color="auto"/>
              <w:right w:val="single"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954C1" w:rsidRPr="00497C57" w:rsidRDefault="004954C1" w:rsidP="004954C1">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954C1" w:rsidRPr="00497C57" w:rsidRDefault="004954C1" w:rsidP="004954C1">
            <w:pPr>
              <w:keepNext/>
              <w:keepLines/>
              <w:jc w:val="center"/>
              <w:rPr>
                <w:rFonts w:ascii="Calibri" w:hAnsi="Calibri" w:cs="Calibri"/>
                <w:szCs w:val="20"/>
              </w:rPr>
            </w:pPr>
          </w:p>
        </w:tc>
      </w:tr>
      <w:bookmarkEnd w:id="5"/>
      <w:tr w:rsidR="004954C1" w:rsidRPr="005C18B6" w:rsidTr="004954C1">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954C1" w:rsidRPr="004954C1" w:rsidRDefault="004954C1" w:rsidP="004954C1">
            <w:pPr>
              <w:pStyle w:val="TFSWorkitem3"/>
              <w:keepLines/>
              <w:rPr>
                <w:lang w:val="it-IT"/>
              </w:rPr>
            </w:pPr>
            <w:r w:rsidRPr="004954C1">
              <w:rPr>
                <w:lang w:val="it-IT"/>
              </w:rPr>
              <w:t>Feature 22179 - Configurazione e regole di gestione dei fondi di previdenza complementare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18760B"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309339151" w:edGrp="everyone" w:displacedByCustomXml="next"/>
        <w:sdt>
          <w:sdtPr>
            <w:rPr>
              <w:rFonts w:ascii="Calibri" w:hAnsi="Calibri" w:cs="Calibri"/>
              <w:color w:val="000000" w:themeColor="text1"/>
              <w:szCs w:val="20"/>
            </w:rPr>
            <w:id w:val="1748070892"/>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324ECD"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30933915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954C1" w:rsidRPr="005C18B6" w:rsidRDefault="004954C1" w:rsidP="004954C1">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954C1" w:rsidRPr="005C18B6" w:rsidRDefault="004954C1" w:rsidP="004954C1">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rPr>
                <w:rFonts w:ascii="Calibri" w:hAnsi="Calibri" w:cs="Calibri"/>
                <w:szCs w:val="18"/>
              </w:rPr>
            </w:pPr>
            <w:r>
              <w:rPr>
                <w:rFonts w:ascii="Calibri" w:hAnsi="Calibri" w:cs="Calibri"/>
                <w:szCs w:val="18"/>
              </w:rPr>
              <w:t>6</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954C1" w:rsidRPr="005C18B6" w:rsidRDefault="004954C1" w:rsidP="004954C1">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954C1" w:rsidRPr="004954C1" w:rsidRDefault="004954C1" w:rsidP="004954C1">
            <w:pPr>
              <w:keepNext/>
              <w:keepLines/>
              <w:jc w:val="center"/>
              <w:rPr>
                <w:rFonts w:ascii="Calibri" w:hAnsi="Calibri" w:cs="Calibri"/>
                <w:b/>
                <w:sz w:val="26"/>
                <w:szCs w:val="26"/>
                <w:lang w:val="it-IT"/>
              </w:rPr>
            </w:pPr>
            <w:permStart w:id="92411785" w:edGrp="everyone"/>
            <w:r w:rsidRPr="004954C1">
              <w:rPr>
                <w:rFonts w:ascii="Calibri" w:hAnsi="Calibri" w:cs="Calibri"/>
                <w:b/>
                <w:sz w:val="26"/>
                <w:szCs w:val="26"/>
                <w:lang w:val="it-IT"/>
              </w:rPr>
              <w:t>Configurazione e regole di gestione dei fondi di previdenza complementare</w:t>
            </w:r>
            <w:permEnd w:id="92411785"/>
          </w:p>
        </w:tc>
        <w:tc>
          <w:tcPr>
            <w:tcW w:w="58" w:type="dxa"/>
            <w:tcBorders>
              <w:top w:val="nil"/>
              <w:left w:val="nil"/>
              <w:bottom w:val="nil"/>
              <w:right w:val="single" w:sz="4" w:space="0" w:color="auto"/>
            </w:tcBorders>
            <w:tcMar>
              <w:left w:w="0" w:type="dxa"/>
              <w:right w:w="0" w:type="dxa"/>
            </w:tcMar>
          </w:tcPr>
          <w:p w:rsidR="004954C1" w:rsidRPr="004954C1" w:rsidRDefault="004954C1" w:rsidP="004954C1">
            <w:pPr>
              <w:keepNext/>
              <w:keepLines/>
              <w:rPr>
                <w:rFonts w:ascii="Calibri" w:hAnsi="Calibri" w:cs="Calibri"/>
                <w:b/>
                <w:szCs w:val="26"/>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5C18B6" w:rsidRDefault="004954C1" w:rsidP="004954C1">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Lines/>
              <w:rPr>
                <w:rFonts w:ascii="Calibri" w:hAnsi="Calibri" w:cs="Calibri"/>
                <w:szCs w:val="18"/>
              </w:rPr>
            </w:pPr>
          </w:p>
        </w:tc>
      </w:tr>
      <w:tr w:rsidR="004954C1" w:rsidRPr="005C18B6" w:rsidTr="004954C1">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954C1" w:rsidRPr="004954C1" w:rsidRDefault="004954C1" w:rsidP="004954C1">
            <w:pPr>
              <w:pStyle w:val="NormaleWeb"/>
              <w:spacing w:before="60" w:beforeAutospacing="0" w:after="60" w:afterAutospacing="0"/>
              <w:jc w:val="both"/>
              <w:rPr>
                <w:lang w:val="it-IT"/>
              </w:rPr>
            </w:pPr>
            <w:permStart w:id="653068425" w:edGrp="everyone"/>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L’amministratore di sistema deve poter configurare l’abilitazione del self service per i fondi di previdenza complementare censiti a sistema come descritto nella feature (TCLD_EG16_FIABP - Inserimento anagrafica base persona non fisica), gestendone anche le date di validità conformemente alle logiche di sistema.</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L’amministratore di sistema, al fine di permettere al sistema di gestire il rapporto tra il fondo e gli amministrati, deve poter configurare anche con modalità di modalità di inclusione/esclusione, il legame tra i fondi di previdenza complementare e:</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w:t>
            </w:r>
            <w:r w:rsidRPr="004954C1">
              <w:rPr>
                <w:rFonts w:ascii="Tahoma" w:hAnsi="Tahoma" w:cs="Tahoma"/>
                <w:color w:val="000000"/>
                <w:lang w:val="it-IT"/>
              </w:rPr>
              <w:tab/>
              <w:t>i contratti gestiti e/o elementi giuridico/economici (ad es. associare al fondo Perseo Sirio il contratto Funzioni Centrali limitatamente al personale dipendente dell’area III del livello economico F1); </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w:t>
            </w:r>
            <w:r w:rsidRPr="004954C1">
              <w:rPr>
                <w:rFonts w:ascii="Tahoma" w:hAnsi="Tahoma" w:cs="Tahoma"/>
                <w:color w:val="000000"/>
                <w:lang w:val="it-IT"/>
              </w:rPr>
              <w:tab/>
              <w:t>amministrazione o gruppi di amministrazioni a prescindere dal contratto;</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w:t>
            </w:r>
            <w:r w:rsidRPr="004954C1">
              <w:rPr>
                <w:rFonts w:ascii="Tahoma" w:hAnsi="Tahoma" w:cs="Tahoma"/>
                <w:color w:val="000000"/>
                <w:lang w:val="it-IT"/>
              </w:rPr>
              <w:tab/>
              <w:t>gruppi di amministrati con caratteristiche omogenee a prescindere dal contratto (ad es. 10 anni di servizio nella PA)</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In aggiunta il sistema deve permettere di gestire, per particolari casistiche relative agli amministrati, anche l’appartenenza a un determinato fondo indipendentemente dalle associazioni generali di cui sopra (ad esempio dipendente con CCNL Funzioni Centrali con TFR privatistico e fondo di categoria).</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Per fondi pensione negoziali si intendono i fondi istituiti dai rappresentanti dei lavoratori e dei datori di lavoro nell’ambito della contrattazione nazionale, di settore o aziendale; l'adesione a questi fondi è riservata a specifiche categorie di lavoratori. A questa tipologia appartengono anche i fondi pensione cosiddetti territoriali, istituiti cioè in base ad accordi tra datori di lavoro e lavoratori di un determinato territorio o area geografica.</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Attualmente i fondi negoziali accreditati presso la  COVIP sono:</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w:t>
            </w:r>
            <w:r w:rsidRPr="004954C1">
              <w:rPr>
                <w:rFonts w:ascii="Tahoma" w:hAnsi="Tahoma" w:cs="Tahoma"/>
                <w:color w:val="000000"/>
                <w:lang w:val="it-IT"/>
              </w:rPr>
              <w:tab/>
              <w:t>Fondo Espero - tutti i lavoratori della scuola, in particolare i dipendenti della scuola statale, docenti, personale amministrativo ATA, personale AFAM (Alta formazione artistica, musicale e coreutica). I dipendenti delle organizzazioni sindacali firmatarie dell’accordo istitutivo del fondo e delle organizzazioni sindacali che abbiano stipulato i contratti collettivi nazionali per l’adesione al fondo da parte dei lavoratori dipendenti da scuole private, parificate e legalmente riconosciute, o da enti per la formazione professionale, compresi i dipendenti in aspettativa sindacale operanti presso le medesime organizzazioni sindacali. I soggetti fiscalmente a carico dei lavoratori aderenti ad Espero;</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w:t>
            </w:r>
            <w:r w:rsidRPr="004954C1">
              <w:rPr>
                <w:rFonts w:ascii="Tahoma" w:hAnsi="Tahoma" w:cs="Tahoma"/>
                <w:color w:val="000000"/>
                <w:lang w:val="it-IT"/>
              </w:rPr>
              <w:tab/>
              <w:t xml:space="preserve">Perseo Sirio - i lavoratori del settore pubblico, ovvero tutti i lavoratori Dipendenti dei Ministeri, delle Regioni, delle Autonomie Locali e Sanità, degli EPNE, dell’ENAC, del CNEL, delle Università e dei Centri di Ricerca e Sperimentazione, delle Agenzie Fiscali, i Dirigenti ricompresi nelle Aree I, II, III, IV, VI, VII e VIII, dell’ENAC, del CNEL e tutti coloro richiamati nell’Accordo Istitutivo. I Segretari </w:t>
            </w:r>
            <w:r w:rsidRPr="004954C1">
              <w:rPr>
                <w:rFonts w:ascii="Tahoma" w:hAnsi="Tahoma" w:cs="Tahoma"/>
                <w:color w:val="000000"/>
                <w:lang w:val="it-IT"/>
              </w:rPr>
              <w:lastRenderedPageBreak/>
              <w:t>comunali e provinciali. Lavoratori del settore privato, ovvero dipendenti delle Organizzazioni sindacali firmatarie dell’accordo istitutivo del Fondo e/o dei contratti collettivi nazionali di lavoro ad¬erenti ai comparti e alle aree dirigenziali destinatari di PERSEO SIRIO, compresi i dipendenti in aspettativa sindacale operanti presso le predette Organizzazioni. I dipendenti dei settori affini: dipendenti dell’Agenzia del Demanio, dipendenti UNIONCAMERE, dipendenti delle cliniche e case di riposo private che hanno sottoscritto gli accordi di adesione, dipendenti delle Associazioni aderenti a ANPAS (Associazione Nazionale delle Pubbliche Assistenze), dipendenti dei Consorzi e degli Enti per la promozione e lo sviluppo industriale aderenti a FICEI , dipendenti di CONI Servizi SpA. I soggetti fiscalmente a carico degli aderenti a Fondo Perseo Sirio.</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w:t>
            </w:r>
            <w:r w:rsidRPr="004954C1">
              <w:rPr>
                <w:rFonts w:ascii="Tahoma" w:hAnsi="Tahoma" w:cs="Tahoma"/>
                <w:color w:val="000000"/>
                <w:lang w:val="it-IT"/>
              </w:rPr>
              <w:tab/>
              <w:t>Filcoop - per i lavoratori dipendenti addetti ai lavori addetti ai lavori di sistemazione idraulica - forestale ed idraulico – agrario, per i dipendenti da cooperative di trasformazione di prodotti zootecnici e lavorazione prodotti alimentari e per i lavoratori dipendenti da cooperative e consorzi agricoli. Al fondo Filcoop possono aderire anche gli operai agricoli del corpo forestale dello Stato.</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L’amministratore di sistema deve configurare le regole comuni ai fondi di previdenza negoziali ed eventuali regole specifiche di ciascun fondo, in particolare:</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w:t>
            </w:r>
            <w:r w:rsidRPr="004954C1">
              <w:rPr>
                <w:rFonts w:ascii="Tahoma" w:hAnsi="Tahoma" w:cs="Tahoma"/>
                <w:color w:val="000000"/>
                <w:lang w:val="it-IT"/>
              </w:rPr>
              <w:tab/>
              <w:t>Le ritenute di base a carico del datore di lavoro e del lavoratore  da applicare, ritenute per contribuzione aggiuntiva a carico del lavoratore  (vedi Epica XXX Ritenute), ritenuta per quota di iscrizione al fondo, eventuali ulteriori ritenute di uno specifico fondo (es. contributo di solidarietà);</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w:t>
            </w:r>
            <w:r w:rsidRPr="004954C1">
              <w:rPr>
                <w:rFonts w:ascii="Tahoma" w:hAnsi="Tahoma" w:cs="Tahoma"/>
                <w:color w:val="000000"/>
                <w:lang w:val="it-IT"/>
              </w:rPr>
              <w:tab/>
              <w:t>requisiti minimi per l’adesione al fondo</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o</w:t>
            </w:r>
            <w:r w:rsidRPr="004954C1">
              <w:rPr>
                <w:rFonts w:ascii="Tahoma" w:hAnsi="Tahoma" w:cs="Tahoma"/>
                <w:color w:val="000000"/>
                <w:lang w:val="it-IT"/>
              </w:rPr>
              <w:tab/>
              <w:t>tipologia e durata minima contrattuale (es. contratto di lavoro di durata pari o superiore ai 3 mesi);</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w:t>
            </w:r>
            <w:r w:rsidRPr="004954C1">
              <w:rPr>
                <w:rFonts w:ascii="Tahoma" w:hAnsi="Tahoma" w:cs="Tahoma"/>
                <w:color w:val="000000"/>
                <w:lang w:val="it-IT"/>
              </w:rPr>
              <w:tab/>
              <w:t>requisiti per la variazione della contribuzione volontaria a carico del dipendente e/o requisiti per la sospensione della contribuzione </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o</w:t>
            </w:r>
            <w:r w:rsidRPr="004954C1">
              <w:rPr>
                <w:rFonts w:ascii="Tahoma" w:hAnsi="Tahoma" w:cs="Tahoma"/>
                <w:color w:val="000000"/>
                <w:lang w:val="it-IT"/>
              </w:rPr>
              <w:tab/>
              <w:t>anzianità minima di adesione al fondo (es. due anni);</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o</w:t>
            </w:r>
            <w:r w:rsidRPr="004954C1">
              <w:rPr>
                <w:rFonts w:ascii="Tahoma" w:hAnsi="Tahoma" w:cs="Tahoma"/>
                <w:color w:val="000000"/>
                <w:lang w:val="it-IT"/>
              </w:rPr>
              <w:tab/>
              <w:t>numero minimo e massimo di variazioni consentite in un determinato periodo, per l’intero periodo di validità del rapporto di lavoro oppure nel periodo di vigenza di adesione (es. una sola volta in tutto il periodo di vigenza);</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w:t>
            </w:r>
            <w:r w:rsidRPr="004954C1">
              <w:rPr>
                <w:rFonts w:ascii="Tahoma" w:hAnsi="Tahoma" w:cs="Tahoma"/>
                <w:color w:val="000000"/>
                <w:lang w:val="it-IT"/>
              </w:rPr>
              <w:tab/>
              <w:t>requisiti per la richiesta di riscatto</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o</w:t>
            </w:r>
            <w:r w:rsidRPr="004954C1">
              <w:rPr>
                <w:rFonts w:ascii="Tahoma" w:hAnsi="Tahoma" w:cs="Tahoma"/>
                <w:color w:val="000000"/>
                <w:lang w:val="it-IT"/>
              </w:rPr>
              <w:tab/>
              <w:t>periodo minimo di permanenza nel fondo ;</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o</w:t>
            </w:r>
            <w:r w:rsidRPr="004954C1">
              <w:rPr>
                <w:rFonts w:ascii="Tahoma" w:hAnsi="Tahoma" w:cs="Tahoma"/>
                <w:color w:val="000000"/>
                <w:lang w:val="it-IT"/>
              </w:rPr>
              <w:tab/>
              <w:t>motivazioni giuridiche abilitanti il riscatto, (es. licenziamento, decesso, raggiungimento dell’età pensionabile, invalidità permanente che comporti la riduzione della capacità di lavoro di una percentuale variabile, inoccupazione per un periodo superiore o inferiore ad un valore da definire, inabilità, mobilità, fondo esuberi, fallimento e per altre cause indipendenti dalla volontà delle parti, scadenza contratto) con la possibilità di specificare quali di queste siano utilizzabili dalla corrispondente funzione self service. Il sistema deve prevedere opportuni controlli per garantire la coerenza di tali motivazioni rispetto allo status giuridico dell’amministrato e alle informazioni del rapporto di lavoro presenti a sistema. </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w:t>
            </w:r>
            <w:r w:rsidRPr="004954C1">
              <w:rPr>
                <w:rFonts w:ascii="Tahoma" w:hAnsi="Tahoma" w:cs="Tahoma"/>
                <w:color w:val="000000"/>
                <w:lang w:val="it-IT"/>
              </w:rPr>
              <w:tab/>
              <w:t>requisiti per la portabilità dell’adesione per cambio di fondo su altro contratto di lavoro</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o</w:t>
            </w:r>
            <w:r w:rsidRPr="004954C1">
              <w:rPr>
                <w:rFonts w:ascii="Tahoma" w:hAnsi="Tahoma" w:cs="Tahoma"/>
                <w:color w:val="000000"/>
                <w:lang w:val="it-IT"/>
              </w:rPr>
              <w:tab/>
              <w:t>compatibilità per la portabilità tra diversi fondi (es. potrebbe essere prevista la portabilità tra il fondo ESPERO e Perseo Sirio ma non tra ESPERO e un fondo non negoziale)</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lastRenderedPageBreak/>
              <w:t>Al fine di consentire all’amministrato o all’operatore di gestire il ciclo di vita dell’adesione al fondo, l’amministratore di sistema deve configurare tutte le informazioni utili ai fini di gestire correttamente tutte le azioni possibili, con la possibilità di personalizzare tali informazioni per fondo o gruppo di fondi (ad es. per l’adesione da Self service, è necessario per tutti i fondi prospettare i dati di carriera, invece uno specifico comparto investimento tra cui consentire la scelta al dipendente potrebbe essere  un’ informazione relativa solo a un fondo).</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In base all’esigenza dei diversi fondi, l’amministratore di sistema deve poter configurare degli step di processo differenti o opzionali per ogni fase del ciclo di vita dell’adesione (ad es. presa visione obbligatoria del prospetto” informazioni chiave per l’aderente” e/o compilazione obbligatoria del questionario di autovalutazione). Nelle diverse fasi del processo deve essere possibile interagire con sistemi terzi al fine di recuperare o trasmettere informazioni di reciproca utilità (es. recepimento dell’effettiva compilazione del questionario di autovalutazione e restituzione dei relativi output; recepimento dei tassi aggiornati di rendimento e di costo da prospettare all’amministrato nelle sezioni informative in fase di adesione). </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Per l’elenco completo delle informazioni da gestire, si rimanda alla modulistica fornita dai fondi di previdenza complementare gestiti da NoiPA che si allega alla presente feature. </w:t>
            </w:r>
          </w:p>
          <w:p w:rsidR="004954C1" w:rsidRPr="004954C1" w:rsidRDefault="004954C1" w:rsidP="004954C1">
            <w:pPr>
              <w:pStyle w:val="NormaleWeb"/>
              <w:spacing w:before="60" w:beforeAutospacing="0" w:after="60" w:afterAutospacing="0"/>
              <w:jc w:val="both"/>
              <w:rPr>
                <w:lang w:val="it-IT"/>
              </w:rPr>
            </w:pPr>
            <w:r w:rsidRPr="004954C1">
              <w:rPr>
                <w:rFonts w:ascii="Tahoma" w:hAnsi="Tahoma" w:cs="Tahoma"/>
                <w:color w:val="000000"/>
                <w:lang w:val="it-IT"/>
              </w:rPr>
              <w:t>Il sistema deve prevedere la configurazione di template di riepilogo, anche differenti per ciascun fondo, con le informazioni relative alle diverse operazioni effettuate (ad es. adesione, riscatto ecc.) che potranno essere messi a disposizione dell’amministrato e degli altri operatori coinvolti. </w:t>
            </w:r>
          </w:p>
          <w:p w:rsidR="004954C1" w:rsidRPr="004954C1" w:rsidRDefault="004954C1" w:rsidP="004954C1">
            <w:pPr>
              <w:pStyle w:val="NormaleWeb"/>
              <w:spacing w:before="60" w:beforeAutospacing="0" w:after="60" w:afterAutospacing="0"/>
              <w:jc w:val="both"/>
              <w:rPr>
                <w:lang w:val="it-IT"/>
              </w:rPr>
            </w:pPr>
          </w:p>
          <w:p w:rsidR="004954C1" w:rsidRPr="004954C1" w:rsidRDefault="004954C1" w:rsidP="004954C1">
            <w:pPr>
              <w:pStyle w:val="NormaleWeb"/>
              <w:spacing w:before="60" w:beforeAutospacing="0" w:after="60" w:afterAutospacing="0"/>
              <w:jc w:val="both"/>
              <w:rPr>
                <w:lang w:val="it-IT"/>
              </w:rPr>
            </w:pPr>
          </w:p>
          <w:permEnd w:id="653068425"/>
          <w:p w:rsidR="004954C1" w:rsidRPr="004954C1" w:rsidRDefault="004954C1" w:rsidP="004954C1">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4954C1" w:rsidRDefault="004954C1" w:rsidP="004954C1">
            <w:pPr>
              <w:keepLines/>
              <w:jc w:val="both"/>
              <w:rPr>
                <w:rFonts w:ascii="Calibri" w:hAnsi="Calibri" w:cs="Calibri"/>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A64A6F" w:rsidRDefault="004954C1" w:rsidP="004954C1">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954C1" w:rsidRPr="005C18B6" w:rsidRDefault="004954C1" w:rsidP="004954C1">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954C1" w:rsidRPr="005C18B6" w:rsidRDefault="004954C1" w:rsidP="004954C1">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954C1" w:rsidRPr="00AD37E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954C1" w:rsidRPr="005C18B6"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r>
      <w:tr w:rsidR="004954C1" w:rsidRPr="005C18B6" w:rsidTr="004954C1">
        <w:trPr>
          <w:trHeight w:val="170"/>
          <w:jc w:val="center"/>
        </w:trPr>
        <w:tc>
          <w:tcPr>
            <w:tcW w:w="47" w:type="dxa"/>
            <w:tcBorders>
              <w:top w:val="nil"/>
              <w:bottom w:val="single" w:sz="4" w:space="0" w:color="auto"/>
              <w:right w:val="nil"/>
            </w:tcBorders>
            <w:tcMar>
              <w:left w:w="0" w:type="dxa"/>
              <w:bottom w:w="57" w:type="dxa"/>
              <w:right w:w="0" w:type="dxa"/>
            </w:tcMar>
          </w:tcPr>
          <w:p w:rsidR="004954C1" w:rsidRPr="005C18B6" w:rsidRDefault="004954C1" w:rsidP="004954C1">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954C1" w:rsidRPr="005C18B6" w:rsidRDefault="004954C1" w:rsidP="004954C1">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60669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954C1" w:rsidRPr="005C18B6" w:rsidRDefault="004954C1" w:rsidP="004954C1">
            <w:pPr>
              <w:keepNext/>
              <w:keepLines/>
              <w:rPr>
                <w:rFonts w:ascii="Calibri" w:hAnsi="Calibri" w:cs="Calibri"/>
              </w:rPr>
            </w:pPr>
          </w:p>
        </w:tc>
      </w:tr>
    </w:tbl>
    <w:p w:rsidR="004954C1" w:rsidRPr="00426C9B" w:rsidRDefault="004954C1" w:rsidP="004954C1">
      <w:pPr>
        <w:spacing w:line="14" w:lineRule="exact"/>
        <w:contextualSpacing/>
        <w:jc w:val="center"/>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5C18B6" w:rsidRDefault="004954C1" w:rsidP="004954C1">
      <w:pPr>
        <w:rPr>
          <w:rFonts w:ascii="Calibri" w:hAnsi="Calibri" w:cs="Calibri"/>
        </w:rPr>
      </w:pPr>
    </w:p>
    <w:p w:rsidR="004954C1" w:rsidRPr="005C18B6" w:rsidRDefault="004954C1" w:rsidP="004954C1">
      <w:pPr>
        <w:rPr>
          <w:rFonts w:ascii="Calibri" w:hAnsi="Calibri" w:cs="Calibri"/>
        </w:rPr>
      </w:pPr>
      <w:permStart w:id="732432621" w:edGrp="everyone"/>
      <w:permEnd w:id="732432621"/>
    </w:p>
    <w:p w:rsidR="004954C1" w:rsidRPr="005C18B6" w:rsidRDefault="004954C1" w:rsidP="004954C1">
      <w:pPr>
        <w:tabs>
          <w:tab w:val="left" w:pos="5565"/>
        </w:tabs>
        <w:rPr>
          <w:rFonts w:ascii="Calibri" w:hAnsi="Calibri" w:cs="Calibri"/>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Default="004954C1" w:rsidP="004954C1">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954C1" w:rsidRPr="00497C57" w:rsidTr="004954C1">
        <w:trPr>
          <w:trHeight w:hRule="exact" w:val="227"/>
          <w:jc w:val="center"/>
        </w:trPr>
        <w:tc>
          <w:tcPr>
            <w:tcW w:w="47" w:type="dxa"/>
            <w:tcBorders>
              <w:top w:val="nil"/>
              <w:left w:val="nil"/>
              <w:bottom w:val="single" w:sz="4" w:space="0" w:color="auto"/>
              <w:right w:val="nil"/>
            </w:tcBorders>
            <w:shd w:val="clear" w:color="auto" w:fill="FFFFFF" w:themeFill="background1"/>
          </w:tcPr>
          <w:p w:rsidR="004954C1" w:rsidRPr="00497C57" w:rsidRDefault="004954C1" w:rsidP="004954C1">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954C1" w:rsidRPr="00497C57" w:rsidRDefault="004954C1" w:rsidP="004954C1">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954C1" w:rsidRPr="00A45B81" w:rsidRDefault="004954C1" w:rsidP="004954C1">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954C1" w:rsidRPr="00A45B81" w:rsidRDefault="004954C1" w:rsidP="004954C1">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954C1" w:rsidRPr="00497C57" w:rsidRDefault="004954C1" w:rsidP="004954C1">
            <w:pPr>
              <w:keepNext/>
              <w:keepLines/>
              <w:rPr>
                <w:rFonts w:ascii="Calibri" w:hAnsi="Calibri" w:cs="Calibri"/>
                <w:szCs w:val="20"/>
              </w:rPr>
            </w:pPr>
          </w:p>
        </w:tc>
      </w:tr>
      <w:tr w:rsidR="004954C1" w:rsidRPr="00497C57" w:rsidTr="004954C1">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954C1" w:rsidRPr="00773A69" w:rsidRDefault="004954C1" w:rsidP="004954C1">
            <w:pPr>
              <w:keepNext/>
              <w:keepLines/>
              <w:jc w:val="center"/>
              <w:rPr>
                <w:rFonts w:ascii="Calibri" w:hAnsi="Calibri" w:cs="Calibri"/>
                <w:color w:val="CC66FF"/>
              </w:rPr>
            </w:pPr>
            <w:bookmarkStart w:id="6" w:name="w2t3751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954C1" w:rsidRPr="00497C57" w:rsidRDefault="004954C1" w:rsidP="004954C1">
            <w:pPr>
              <w:keepNext/>
              <w:keepLines/>
              <w:jc w:val="center"/>
              <w:rPr>
                <w:rFonts w:ascii="Calibri" w:hAnsi="Calibri" w:cs="Calibri"/>
                <w:szCs w:val="26"/>
              </w:rPr>
            </w:pPr>
            <w:permStart w:id="156257938" w:edGrp="everyone"/>
            <w:r>
              <w:rPr>
                <w:rFonts w:ascii="Calibri" w:hAnsi="Calibri" w:cs="Calibri"/>
                <w:szCs w:val="26"/>
              </w:rPr>
              <w:t>TCLD_ESLF_FRPPI</w:t>
            </w:r>
            <w:permEnd w:id="15625793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954C1" w:rsidRPr="00497C57" w:rsidRDefault="004954C1" w:rsidP="004954C1">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18" w:history="1">
              <w:r w:rsidRPr="004954C1">
                <w:rPr>
                  <w:rStyle w:val="Collegamentoipertestuale"/>
                  <w:rFonts w:ascii="Calibri" w:hAnsi="Calibri" w:cs="Calibri"/>
                  <w:szCs w:val="20"/>
                </w:rPr>
                <w:t>37514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hyperlink r:id="rId19" w:history="1">
              <w:r w:rsidRPr="004954C1">
                <w:rPr>
                  <w:rStyle w:val="Collegamentoipertestuale"/>
                  <w:rFonts w:ascii="Calibri" w:hAnsi="Calibri" w:cs="Calibri"/>
                  <w:szCs w:val="20"/>
                </w:rPr>
                <w:t>55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40</w:t>
            </w:r>
          </w:p>
        </w:tc>
        <w:tc>
          <w:tcPr>
            <w:tcW w:w="836" w:type="dxa"/>
            <w:tcBorders>
              <w:top w:val="single" w:sz="4" w:space="0" w:color="auto"/>
              <w:bottom w:val="single" w:sz="4" w:space="0" w:color="auto"/>
              <w:right w:val="single" w:sz="4" w:space="0" w:color="auto"/>
            </w:tcBorders>
            <w:shd w:val="clear" w:color="auto" w:fill="FFFF99"/>
            <w:vAlign w:val="center"/>
          </w:tcPr>
          <w:p w:rsidR="004954C1" w:rsidRPr="00497C57" w:rsidRDefault="004954C1" w:rsidP="004954C1">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954C1" w:rsidRPr="00497C57" w:rsidRDefault="004954C1" w:rsidP="004954C1">
            <w:pPr>
              <w:keepNext/>
              <w:keepLines/>
              <w:jc w:val="center"/>
              <w:rPr>
                <w:rFonts w:ascii="Calibri" w:hAnsi="Calibri" w:cs="Calibri"/>
                <w:szCs w:val="20"/>
              </w:rPr>
            </w:pPr>
            <w:r>
              <w:rPr>
                <w:rFonts w:ascii="Calibri" w:hAnsi="Calibri" w:cs="Calibri"/>
                <w:szCs w:val="20"/>
              </w:rPr>
              <w:t>14241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954C1" w:rsidRPr="00497C57" w:rsidRDefault="004954C1" w:rsidP="004954C1">
            <w:pPr>
              <w:keepNext/>
              <w:keepLines/>
              <w:jc w:val="center"/>
              <w:rPr>
                <w:rFonts w:ascii="Calibri" w:hAnsi="Calibri" w:cs="Calibri"/>
                <w:szCs w:val="20"/>
              </w:rPr>
            </w:pPr>
          </w:p>
        </w:tc>
      </w:tr>
      <w:bookmarkEnd w:id="6"/>
      <w:tr w:rsidR="004954C1" w:rsidRPr="005C18B6" w:rsidTr="004954C1">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954C1" w:rsidRPr="004954C1" w:rsidRDefault="004954C1" w:rsidP="004954C1">
            <w:pPr>
              <w:pStyle w:val="TFSWorkitem3"/>
              <w:keepLines/>
              <w:rPr>
                <w:lang w:val="it-IT"/>
              </w:rPr>
            </w:pPr>
            <w:r w:rsidRPr="004954C1">
              <w:rPr>
                <w:lang w:val="it-IT"/>
              </w:rPr>
              <w:t>Feature 37514 - Richiesta di piccolo prestito INPS</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18760B"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20/06/2019 17:48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954C1" w:rsidRPr="004952F2" w:rsidRDefault="004954C1" w:rsidP="004954C1">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39137243" w:edGrp="everyone" w:displacedByCustomXml="next"/>
        <w:sdt>
          <w:sdtPr>
            <w:rPr>
              <w:rFonts w:ascii="Calibri" w:hAnsi="Calibri" w:cs="Calibri"/>
              <w:color w:val="000000" w:themeColor="text1"/>
              <w:szCs w:val="20"/>
            </w:rPr>
            <w:id w:val="1361628916"/>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954C1" w:rsidRPr="00324ECD" w:rsidRDefault="004954C1" w:rsidP="004954C1">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83913724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954C1" w:rsidRPr="005C18B6" w:rsidRDefault="004954C1" w:rsidP="004954C1">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954C1" w:rsidRPr="005C18B6" w:rsidRDefault="004954C1" w:rsidP="004954C1">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954C1" w:rsidRPr="005C18B6" w:rsidRDefault="004954C1" w:rsidP="004954C1">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954C1" w:rsidRPr="005C18B6" w:rsidRDefault="004954C1" w:rsidP="004954C1">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954C1" w:rsidRPr="004954C1" w:rsidRDefault="004954C1" w:rsidP="004954C1">
            <w:pPr>
              <w:keepNext/>
              <w:keepLines/>
              <w:jc w:val="center"/>
              <w:rPr>
                <w:rFonts w:ascii="Calibri" w:hAnsi="Calibri" w:cs="Calibri"/>
                <w:b/>
                <w:sz w:val="26"/>
                <w:szCs w:val="26"/>
                <w:lang w:val="it-IT"/>
              </w:rPr>
            </w:pPr>
            <w:permStart w:id="721046557" w:edGrp="everyone"/>
            <w:r w:rsidRPr="004954C1">
              <w:rPr>
                <w:rFonts w:ascii="Calibri" w:hAnsi="Calibri" w:cs="Calibri"/>
                <w:b/>
                <w:sz w:val="26"/>
                <w:szCs w:val="26"/>
                <w:lang w:val="it-IT"/>
              </w:rPr>
              <w:t>Richiesta di piccolo prestito INPS</w:t>
            </w:r>
            <w:permEnd w:id="721046557"/>
          </w:p>
        </w:tc>
        <w:tc>
          <w:tcPr>
            <w:tcW w:w="58" w:type="dxa"/>
            <w:tcBorders>
              <w:top w:val="nil"/>
              <w:left w:val="nil"/>
              <w:bottom w:val="nil"/>
              <w:right w:val="single" w:sz="4" w:space="0" w:color="auto"/>
            </w:tcBorders>
            <w:tcMar>
              <w:left w:w="0" w:type="dxa"/>
              <w:right w:w="0" w:type="dxa"/>
            </w:tcMar>
          </w:tcPr>
          <w:p w:rsidR="004954C1" w:rsidRPr="004954C1" w:rsidRDefault="004954C1" w:rsidP="004954C1">
            <w:pPr>
              <w:keepNext/>
              <w:keepLines/>
              <w:rPr>
                <w:rFonts w:ascii="Calibri" w:hAnsi="Calibri" w:cs="Calibri"/>
                <w:b/>
                <w:szCs w:val="26"/>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5C18B6" w:rsidRDefault="004954C1" w:rsidP="004954C1">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Lines/>
              <w:rPr>
                <w:rFonts w:ascii="Calibri" w:hAnsi="Calibri" w:cs="Calibri"/>
                <w:szCs w:val="18"/>
              </w:rPr>
            </w:pPr>
          </w:p>
        </w:tc>
      </w:tr>
      <w:tr w:rsidR="004954C1" w:rsidRPr="005C18B6" w:rsidTr="004954C1">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954C1" w:rsidRDefault="004954C1" w:rsidP="004954C1">
            <w:pPr>
              <w:pStyle w:val="NormaleWeb"/>
              <w:spacing w:before="0" w:beforeAutospacing="0" w:after="160" w:afterAutospacing="0" w:line="256" w:lineRule="auto"/>
              <w:rPr>
                <w:rFonts w:ascii="Calibri" w:hAnsi="Calibri"/>
                <w:color w:val="000000"/>
                <w:sz w:val="22"/>
                <w:szCs w:val="22"/>
              </w:rPr>
            </w:pPr>
            <w:permStart w:id="1875930732" w:edGrp="everyone"/>
            <w:r>
              <w:rPr>
                <w:rFonts w:ascii="Tahoma" w:hAnsi="Tahoma" w:cs="Tahoma"/>
                <w:noProof/>
                <w:color w:val="000000"/>
                <w:sz w:val="18"/>
                <w:szCs w:val="18"/>
              </w:rPr>
              <w:drawing>
                <wp:inline distT="0" distB="0" distL="0" distR="0">
                  <wp:extent cx="13403546" cy="5430008"/>
                  <wp:effectExtent l="0" t="0" r="8255" b="0"/>
                  <wp:docPr id="52" name="Immagine 52" descr="http://tfsprod.mef.gov.it/tfs/Cloudify-NoiPA/WorkItemTracking/v1.0/AttachFileHandler.ashx?FileNameGuid=c92405f7-7b6b-4af6-b247-7dbbb2f6c3a2&amp;FileName=temp1550251094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tfsprod.mef.gov.it/tfs/Cloudify-NoiPA/WorkItemTracking/v1.0/AttachFileHandler.ashx?FileNameGuid=c92405f7-7b6b-4af6-b247-7dbbb2f6c3a2&amp;FileName=temp155025109481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03546" cy="5430008"/>
                          </a:xfrm>
                          <a:prstGeom prst="rect">
                            <a:avLst/>
                          </a:prstGeom>
                          <a:noFill/>
                          <a:ln>
                            <a:noFill/>
                          </a:ln>
                        </pic:spPr>
                      </pic:pic>
                    </a:graphicData>
                  </a:graphic>
                </wp:inline>
              </w:drawing>
            </w:r>
            <w:r>
              <w:rPr>
                <w:rFonts w:ascii="Tahoma" w:hAnsi="Tahoma" w:cs="Tahoma"/>
                <w:color w:val="000000"/>
                <w:sz w:val="18"/>
                <w:szCs w:val="18"/>
              </w:rPr>
              <w:br/>
              <w:t> </w:t>
            </w:r>
          </w:p>
          <w:p w:rsidR="004954C1" w:rsidRDefault="004954C1" w:rsidP="004954C1">
            <w:pPr>
              <w:pStyle w:val="NormaleWeb"/>
              <w:spacing w:before="0" w:beforeAutospacing="0" w:after="160" w:afterAutospacing="0" w:line="256" w:lineRule="auto"/>
              <w:rPr>
                <w:rFonts w:ascii="Calibri" w:hAnsi="Calibri"/>
                <w:color w:val="000000"/>
                <w:sz w:val="22"/>
                <w:szCs w:val="22"/>
              </w:rPr>
            </w:pPr>
          </w:p>
          <w:p w:rsidR="004954C1" w:rsidRDefault="004954C1" w:rsidP="004954C1">
            <w:pPr>
              <w:pStyle w:val="NormaleWeb"/>
              <w:spacing w:before="0" w:beforeAutospacing="0" w:after="160" w:afterAutospacing="0" w:line="256" w:lineRule="auto"/>
              <w:rPr>
                <w:rFonts w:ascii="Calibri" w:hAnsi="Calibri"/>
                <w:color w:val="000000"/>
                <w:sz w:val="22"/>
                <w:szCs w:val="22"/>
              </w:rPr>
            </w:pPr>
            <w:r>
              <w:rPr>
                <w:rFonts w:ascii="Tahoma" w:hAnsi="Tahoma" w:cs="Tahoma"/>
                <w:color w:val="000000"/>
                <w:sz w:val="18"/>
                <w:szCs w:val="18"/>
              </w:rPr>
              <w:t>Il self service deve essere disponibile per tutti gli amministrati che abbiano un rapporto di lavoro che preveda l’iscrizione alla</w:t>
            </w:r>
            <w:r>
              <w:rPr>
                <w:rStyle w:val="Enfasigrassetto"/>
                <w:rFonts w:ascii="Tahoma" w:hAnsi="Tahoma" w:cs="Tahoma"/>
                <w:color w:val="000000"/>
                <w:sz w:val="18"/>
                <w:szCs w:val="18"/>
              </w:rPr>
              <w:t xml:space="preserve"> Gestione Unitaria delle prestazioni creditizie e sociali</w:t>
            </w:r>
            <w:r>
              <w:rPr>
                <w:rFonts w:ascii="Tahoma" w:hAnsi="Tahoma" w:cs="Tahoma"/>
                <w:color w:val="000000"/>
                <w:sz w:val="18"/>
                <w:szCs w:val="18"/>
              </w:rPr>
              <w:t>,</w:t>
            </w:r>
            <w:r>
              <w:rPr>
                <w:rStyle w:val="Enfasigrassetto"/>
                <w:rFonts w:ascii="Tahoma" w:hAnsi="Tahoma" w:cs="Tahoma"/>
                <w:color w:val="000000"/>
                <w:sz w:val="18"/>
                <w:szCs w:val="18"/>
              </w:rPr>
              <w:t xml:space="preserve"> dell</w:t>
            </w:r>
            <w:r w:rsidRPr="004954C1">
              <w:rPr>
                <w:rStyle w:val="Enfasigrassetto"/>
                <w:rFonts w:ascii="Calibri" w:hAnsi="Calibri"/>
                <w:color w:val="000000"/>
                <w:sz w:val="18"/>
                <w:szCs w:val="18"/>
                <w:lang w:val="it-IT"/>
              </w:rPr>
              <w:t>’</w:t>
            </w:r>
            <w:r>
              <w:rPr>
                <w:rStyle w:val="Enfasigrassetto"/>
                <w:rFonts w:ascii="Tahoma" w:hAnsi="Tahoma" w:cs="Tahoma"/>
                <w:color w:val="000000"/>
                <w:sz w:val="18"/>
                <w:szCs w:val="18"/>
              </w:rPr>
              <w:t xml:space="preserve">INPS </w:t>
            </w:r>
            <w:r w:rsidRPr="004954C1">
              <w:rPr>
                <w:rStyle w:val="Enfasigrassetto"/>
                <w:rFonts w:ascii="Calibri" w:hAnsi="Calibri"/>
                <w:color w:val="000000"/>
                <w:sz w:val="18"/>
                <w:szCs w:val="18"/>
                <w:lang w:val="it-IT"/>
              </w:rPr>
              <w:t>–</w:t>
            </w:r>
            <w:r>
              <w:rPr>
                <w:rStyle w:val="Enfasigrassetto"/>
                <w:rFonts w:ascii="Tahoma" w:hAnsi="Tahoma" w:cs="Tahoma"/>
                <w:color w:val="000000"/>
                <w:sz w:val="18"/>
                <w:szCs w:val="18"/>
              </w:rPr>
              <w:t>Gestione dipendenti pubblici</w:t>
            </w:r>
            <w:r>
              <w:rPr>
                <w:rFonts w:ascii="Tahoma" w:hAnsi="Tahoma" w:cs="Tahoma"/>
                <w:color w:val="000000"/>
                <w:sz w:val="18"/>
                <w:szCs w:val="18"/>
              </w:rPr>
              <w:t>, Tale iscrizione si concretizza con l</w:t>
            </w:r>
            <w:r w:rsidRPr="004954C1">
              <w:rPr>
                <w:rFonts w:ascii="Calibri" w:hAnsi="Calibri"/>
                <w:color w:val="000000"/>
                <w:sz w:val="18"/>
                <w:szCs w:val="18"/>
                <w:lang w:val="it-IT"/>
              </w:rPr>
              <w:t>’</w:t>
            </w:r>
            <w:r>
              <w:rPr>
                <w:rFonts w:ascii="Tahoma" w:hAnsi="Tahoma" w:cs="Tahoma"/>
                <w:color w:val="000000"/>
                <w:sz w:val="18"/>
                <w:szCs w:val="18"/>
              </w:rPr>
              <w:t xml:space="preserve">applicazione della ritenuta previdenziale denominata  </w:t>
            </w:r>
            <w:r w:rsidRPr="004954C1">
              <w:rPr>
                <w:rFonts w:ascii="Calibri" w:hAnsi="Calibri"/>
                <w:color w:val="000000"/>
                <w:sz w:val="18"/>
                <w:szCs w:val="18"/>
                <w:lang w:val="it-IT"/>
              </w:rPr>
              <w:t>“</w:t>
            </w:r>
            <w:r>
              <w:rPr>
                <w:rFonts w:ascii="Tahoma" w:hAnsi="Tahoma" w:cs="Tahoma"/>
                <w:color w:val="000000"/>
                <w:sz w:val="18"/>
                <w:szCs w:val="18"/>
              </w:rPr>
              <w:t>fondo credito</w:t>
            </w:r>
            <w:r w:rsidRPr="004954C1">
              <w:rPr>
                <w:rFonts w:ascii="Calibri" w:hAnsi="Calibri"/>
                <w:color w:val="000000"/>
                <w:sz w:val="18"/>
                <w:szCs w:val="18"/>
                <w:lang w:val="it-IT"/>
              </w:rPr>
              <w:t>”</w:t>
            </w:r>
            <w:r>
              <w:rPr>
                <w:rFonts w:ascii="Tahoma" w:hAnsi="Tahoma" w:cs="Tahoma"/>
                <w:color w:val="000000"/>
                <w:sz w:val="18"/>
                <w:szCs w:val="18"/>
              </w:rPr>
              <w:t xml:space="preserve">  sullo stipendio (attualmente 0,35% a carico del dipendente). </w:t>
            </w:r>
          </w:p>
          <w:p w:rsidR="004954C1" w:rsidRDefault="004954C1" w:rsidP="004954C1">
            <w:pPr>
              <w:pStyle w:val="NormaleWeb"/>
              <w:spacing w:before="0" w:beforeAutospacing="0" w:after="160" w:afterAutospacing="0" w:line="256" w:lineRule="auto"/>
              <w:rPr>
                <w:rFonts w:ascii="Calibri" w:hAnsi="Calibri"/>
                <w:color w:val="000000"/>
                <w:sz w:val="22"/>
                <w:szCs w:val="22"/>
              </w:rPr>
            </w:pPr>
            <w:r>
              <w:rPr>
                <w:rFonts w:ascii="Tahoma" w:hAnsi="Tahoma" w:cs="Tahoma"/>
                <w:color w:val="000000"/>
                <w:sz w:val="18"/>
                <w:szCs w:val="18"/>
              </w:rPr>
              <w:t xml:space="preserve">Il sistema NoiPa deve consentire la configurazione e la gestione di tutte le tipologie di prestito previste dalla normativa di settore. A titolo esemplificativo, di seguito si elencano le tipologie di piccolo prestito INPS attualmente vigenti : </w:t>
            </w:r>
          </w:p>
          <w:p w:rsidR="004954C1" w:rsidRDefault="004954C1" w:rsidP="004954C1">
            <w:pPr>
              <w:pStyle w:val="NormaleWeb"/>
              <w:numPr>
                <w:ilvl w:val="0"/>
                <w:numId w:val="18"/>
              </w:numPr>
              <w:spacing w:before="0" w:beforeAutospacing="0" w:after="165" w:afterAutospacing="0"/>
              <w:rPr>
                <w:rFonts w:ascii="Calibri" w:hAnsi="Calibri"/>
                <w:color w:val="000000"/>
                <w:sz w:val="22"/>
                <w:szCs w:val="22"/>
              </w:rPr>
            </w:pPr>
            <w:r>
              <w:rPr>
                <w:rFonts w:ascii="Tahoma" w:hAnsi="Tahoma" w:cs="Tahoma"/>
                <w:color w:val="000000"/>
                <w:sz w:val="18"/>
                <w:szCs w:val="18"/>
              </w:rPr>
              <w:t xml:space="preserve">Prestito annuale – pari a una mensilità netta rimborsabile in 12 rate mensili  </w:t>
            </w:r>
          </w:p>
          <w:p w:rsidR="004954C1" w:rsidRDefault="004954C1" w:rsidP="004954C1">
            <w:pPr>
              <w:pStyle w:val="NormaleWeb"/>
              <w:numPr>
                <w:ilvl w:val="0"/>
                <w:numId w:val="18"/>
              </w:numPr>
              <w:spacing w:before="0" w:beforeAutospacing="0" w:after="165" w:afterAutospacing="0"/>
              <w:rPr>
                <w:color w:val="000000"/>
              </w:rPr>
            </w:pPr>
            <w:r>
              <w:rPr>
                <w:rFonts w:ascii="Tahoma" w:hAnsi="Tahoma" w:cs="Tahoma"/>
                <w:color w:val="000000"/>
                <w:sz w:val="18"/>
                <w:szCs w:val="18"/>
              </w:rPr>
              <w:t xml:space="preserve">Prestito biennale – pari a due mensilità nette rimborsabili in 24 rate mensili </w:t>
            </w:r>
          </w:p>
          <w:p w:rsidR="004954C1" w:rsidRDefault="004954C1" w:rsidP="004954C1">
            <w:pPr>
              <w:pStyle w:val="NormaleWeb"/>
              <w:numPr>
                <w:ilvl w:val="0"/>
                <w:numId w:val="18"/>
              </w:numPr>
              <w:spacing w:before="0" w:beforeAutospacing="0" w:after="165" w:afterAutospacing="0"/>
              <w:rPr>
                <w:color w:val="000000"/>
              </w:rPr>
            </w:pPr>
            <w:r>
              <w:rPr>
                <w:rFonts w:ascii="Tahoma" w:hAnsi="Tahoma" w:cs="Tahoma"/>
                <w:color w:val="000000"/>
                <w:sz w:val="18"/>
                <w:szCs w:val="18"/>
              </w:rPr>
              <w:t xml:space="preserve">Prestito triennale – pari a tre mensilità nette rimborsabili in 36 rate mensili </w:t>
            </w:r>
          </w:p>
          <w:p w:rsidR="004954C1" w:rsidRDefault="004954C1" w:rsidP="004954C1">
            <w:pPr>
              <w:pStyle w:val="NormaleWeb"/>
              <w:numPr>
                <w:ilvl w:val="0"/>
                <w:numId w:val="18"/>
              </w:numPr>
              <w:spacing w:before="0" w:beforeAutospacing="0" w:after="165" w:afterAutospacing="0"/>
              <w:rPr>
                <w:color w:val="000000"/>
              </w:rPr>
            </w:pPr>
            <w:r>
              <w:rPr>
                <w:rFonts w:ascii="Tahoma" w:hAnsi="Tahoma" w:cs="Tahoma"/>
                <w:color w:val="000000"/>
                <w:sz w:val="18"/>
                <w:szCs w:val="18"/>
              </w:rPr>
              <w:t xml:space="preserve">Prestito quadriennale – pari a quattro mensilità nette rimborsabili in 48 rate mensili </w:t>
            </w:r>
          </w:p>
          <w:p w:rsidR="004954C1" w:rsidRDefault="004954C1" w:rsidP="004954C1">
            <w:pPr>
              <w:pStyle w:val="NormaleWeb"/>
              <w:spacing w:before="0" w:beforeAutospacing="0" w:after="165" w:afterAutospacing="0"/>
              <w:rPr>
                <w:rFonts w:ascii="Calibri" w:hAnsi="Calibri"/>
                <w:color w:val="000000"/>
                <w:sz w:val="22"/>
                <w:szCs w:val="22"/>
              </w:rPr>
            </w:pPr>
            <w:r>
              <w:rPr>
                <w:rFonts w:ascii="Tahoma" w:hAnsi="Tahoma" w:cs="Tahoma"/>
                <w:color w:val="000000"/>
                <w:sz w:val="18"/>
                <w:szCs w:val="18"/>
              </w:rPr>
              <w:lastRenderedPageBreak/>
              <w:t xml:space="preserve">Inoltre, i suddetti prestiti possono essere richiesti anche in misura doppia (due mensilità nette di stipendio o pensione per ogni anno di </w:t>
            </w:r>
            <w:r>
              <w:rPr>
                <w:rFonts w:ascii="Tahoma" w:hAnsi="Tahoma" w:cs="Tahoma"/>
                <w:color w:val="000000"/>
                <w:sz w:val="18"/>
                <w:szCs w:val="18"/>
                <w:shd w:val="clear" w:color="auto" w:fill="BBDAE4"/>
              </w:rPr>
              <w:t>ammortamento</w:t>
            </w:r>
            <w:r>
              <w:rPr>
                <w:rFonts w:ascii="Tahoma" w:hAnsi="Tahoma" w:cs="Tahoma"/>
                <w:color w:val="000000"/>
                <w:sz w:val="18"/>
                <w:szCs w:val="18"/>
              </w:rPr>
              <w:t>), fino a otto mensilità da restituire in 48 mesi:</w:t>
            </w:r>
          </w:p>
          <w:p w:rsidR="004954C1" w:rsidRDefault="004954C1" w:rsidP="004954C1">
            <w:pPr>
              <w:pStyle w:val="NormaleWeb"/>
              <w:numPr>
                <w:ilvl w:val="0"/>
                <w:numId w:val="19"/>
              </w:numPr>
              <w:spacing w:before="0" w:beforeAutospacing="0" w:after="165" w:afterAutospacing="0"/>
              <w:rPr>
                <w:rFonts w:ascii="Calibri" w:hAnsi="Calibri"/>
                <w:color w:val="000000"/>
                <w:sz w:val="22"/>
                <w:szCs w:val="22"/>
              </w:rPr>
            </w:pPr>
            <w:r>
              <w:rPr>
                <w:rFonts w:ascii="Tahoma" w:hAnsi="Tahoma" w:cs="Tahoma"/>
                <w:color w:val="000000"/>
                <w:sz w:val="18"/>
                <w:szCs w:val="18"/>
              </w:rPr>
              <w:t xml:space="preserve">Prestito in misura doppia annuale – pari a due mensilità nette rimborsabile in 12 rate mensili </w:t>
            </w:r>
          </w:p>
          <w:p w:rsidR="004954C1" w:rsidRDefault="004954C1" w:rsidP="004954C1">
            <w:pPr>
              <w:pStyle w:val="NormaleWeb"/>
              <w:numPr>
                <w:ilvl w:val="0"/>
                <w:numId w:val="19"/>
              </w:numPr>
              <w:spacing w:before="0" w:beforeAutospacing="0" w:after="165" w:afterAutospacing="0"/>
              <w:rPr>
                <w:color w:val="000000"/>
              </w:rPr>
            </w:pPr>
            <w:r>
              <w:rPr>
                <w:rFonts w:ascii="Tahoma" w:hAnsi="Tahoma" w:cs="Tahoma"/>
                <w:color w:val="000000"/>
                <w:sz w:val="18"/>
                <w:szCs w:val="18"/>
              </w:rPr>
              <w:t>Prestito in misura doppia biennale – pari a quattro mensilità nette rimborsabili in 24 rate mensili</w:t>
            </w:r>
          </w:p>
          <w:p w:rsidR="004954C1" w:rsidRDefault="004954C1" w:rsidP="004954C1">
            <w:pPr>
              <w:pStyle w:val="NormaleWeb"/>
              <w:numPr>
                <w:ilvl w:val="0"/>
                <w:numId w:val="19"/>
              </w:numPr>
              <w:spacing w:before="0" w:beforeAutospacing="0" w:after="165" w:afterAutospacing="0"/>
              <w:rPr>
                <w:color w:val="000000"/>
              </w:rPr>
            </w:pPr>
            <w:r>
              <w:rPr>
                <w:rFonts w:ascii="Tahoma" w:hAnsi="Tahoma" w:cs="Tahoma"/>
                <w:color w:val="000000"/>
                <w:sz w:val="18"/>
                <w:szCs w:val="18"/>
              </w:rPr>
              <w:t xml:space="preserve">Prestito in misura doppia triennale – pari a sei mensilità nette rimborsabili in 36 rate mensili </w:t>
            </w:r>
          </w:p>
          <w:p w:rsidR="004954C1" w:rsidRDefault="004954C1" w:rsidP="004954C1">
            <w:pPr>
              <w:pStyle w:val="NormaleWeb"/>
              <w:numPr>
                <w:ilvl w:val="0"/>
                <w:numId w:val="19"/>
              </w:numPr>
              <w:spacing w:before="0" w:beforeAutospacing="0" w:after="165" w:afterAutospacing="0"/>
              <w:rPr>
                <w:color w:val="000000"/>
              </w:rPr>
            </w:pPr>
            <w:r>
              <w:rPr>
                <w:rFonts w:ascii="Tahoma" w:hAnsi="Tahoma" w:cs="Tahoma"/>
                <w:color w:val="000000"/>
                <w:sz w:val="18"/>
                <w:szCs w:val="18"/>
              </w:rPr>
              <w:t>Prestito in misura doppia quadriennale – pari a otto mensilità nette rimborsabili in 48 rate mensili.</w:t>
            </w:r>
          </w:p>
          <w:p w:rsidR="004954C1" w:rsidRDefault="004954C1" w:rsidP="004954C1">
            <w:pPr>
              <w:pStyle w:val="NormaleWeb"/>
              <w:spacing w:before="0" w:beforeAutospacing="0" w:after="165" w:afterAutospacing="0"/>
              <w:rPr>
                <w:rFonts w:ascii="Calibri" w:hAnsi="Calibri"/>
                <w:color w:val="000000"/>
                <w:sz w:val="22"/>
                <w:szCs w:val="22"/>
              </w:rPr>
            </w:pPr>
            <w:r>
              <w:rPr>
                <w:rFonts w:ascii="Tahoma" w:hAnsi="Tahoma" w:cs="Tahoma"/>
                <w:color w:val="000000"/>
                <w:sz w:val="18"/>
                <w:szCs w:val="18"/>
              </w:rPr>
              <w:t> </w:t>
            </w:r>
          </w:p>
          <w:p w:rsidR="004954C1" w:rsidRDefault="004954C1" w:rsidP="004954C1">
            <w:pPr>
              <w:pStyle w:val="NormaleWeb"/>
              <w:spacing w:before="0" w:beforeAutospacing="0" w:after="165" w:afterAutospacing="0"/>
              <w:rPr>
                <w:rFonts w:ascii="Calibri" w:hAnsi="Calibri"/>
                <w:color w:val="000000"/>
                <w:sz w:val="22"/>
                <w:szCs w:val="22"/>
              </w:rPr>
            </w:pPr>
            <w:r>
              <w:rPr>
                <w:rFonts w:ascii="Tahoma" w:hAnsi="Tahoma" w:cs="Tahoma"/>
                <w:color w:val="000000"/>
                <w:sz w:val="18"/>
                <w:szCs w:val="18"/>
              </w:rPr>
              <w:t>L’Amministrato può richiedere le tipologie di prestito in misura doppia solo se lo stipendio in godimento è privo  di altre trattenute extraerariali. Pertanto, il sistema dovrà contenere gli opportuni controlli alla richiesta di tali tipologie di prestito.</w:t>
            </w:r>
          </w:p>
          <w:p w:rsidR="004954C1" w:rsidRDefault="004954C1" w:rsidP="004954C1">
            <w:pPr>
              <w:pStyle w:val="NormaleWeb"/>
              <w:spacing w:before="0" w:beforeAutospacing="0" w:after="165" w:afterAutospacing="0"/>
              <w:rPr>
                <w:rFonts w:ascii="Calibri" w:hAnsi="Calibri"/>
                <w:color w:val="000000"/>
                <w:sz w:val="22"/>
                <w:szCs w:val="22"/>
              </w:rPr>
            </w:pPr>
            <w:r>
              <w:rPr>
                <w:rFonts w:ascii="Tahoma" w:hAnsi="Tahoma" w:cs="Tahoma"/>
                <w:color w:val="000000"/>
                <w:sz w:val="18"/>
                <w:szCs w:val="18"/>
              </w:rPr>
              <w:t xml:space="preserve">Il piccolo prestito può essere rinnovato dopo il periodo minimo di  </w:t>
            </w:r>
            <w:r>
              <w:rPr>
                <w:rFonts w:ascii="Tahoma" w:hAnsi="Tahoma" w:cs="Tahoma"/>
                <w:color w:val="000000"/>
                <w:sz w:val="18"/>
                <w:szCs w:val="18"/>
                <w:shd w:val="clear" w:color="auto" w:fill="BBDAE4"/>
              </w:rPr>
              <w:t>ammortamento</w:t>
            </w:r>
            <w:r>
              <w:rPr>
                <w:rFonts w:ascii="Tahoma" w:hAnsi="Tahoma" w:cs="Tahoma"/>
                <w:color w:val="000000"/>
                <w:sz w:val="18"/>
                <w:szCs w:val="18"/>
              </w:rPr>
              <w:t xml:space="preserve"> e di versamento con un numero di rate configurabile secondo la normativa vigente. Attualmente le rate per il rinnovo sono le seguenti:</w:t>
            </w:r>
          </w:p>
          <w:p w:rsidR="004954C1" w:rsidRDefault="004954C1" w:rsidP="004954C1">
            <w:pPr>
              <w:pStyle w:val="NormaleWeb"/>
              <w:numPr>
                <w:ilvl w:val="0"/>
                <w:numId w:val="20"/>
              </w:numPr>
              <w:spacing w:before="0" w:beforeAutospacing="0" w:after="165" w:afterAutospacing="0"/>
              <w:rPr>
                <w:rFonts w:ascii="Calibri" w:hAnsi="Calibri"/>
                <w:color w:val="000000"/>
                <w:sz w:val="22"/>
                <w:szCs w:val="22"/>
              </w:rPr>
            </w:pPr>
            <w:r>
              <w:rPr>
                <w:rFonts w:ascii="Tahoma" w:hAnsi="Tahoma" w:cs="Tahoma"/>
                <w:color w:val="000000"/>
                <w:sz w:val="18"/>
                <w:szCs w:val="18"/>
              </w:rPr>
              <w:t>12 mesi per i prestiti biennali;</w:t>
            </w:r>
          </w:p>
          <w:p w:rsidR="004954C1" w:rsidRDefault="004954C1" w:rsidP="004954C1">
            <w:pPr>
              <w:pStyle w:val="NormaleWeb"/>
              <w:numPr>
                <w:ilvl w:val="0"/>
                <w:numId w:val="20"/>
              </w:numPr>
              <w:spacing w:before="0" w:beforeAutospacing="0" w:after="160" w:afterAutospacing="0"/>
              <w:rPr>
                <w:rFonts w:ascii="Calibri" w:hAnsi="Calibri"/>
                <w:color w:val="000000"/>
                <w:sz w:val="22"/>
                <w:szCs w:val="22"/>
              </w:rPr>
            </w:pPr>
            <w:r>
              <w:rPr>
                <w:rFonts w:ascii="Tahoma" w:hAnsi="Tahoma" w:cs="Tahoma"/>
                <w:color w:val="000000"/>
                <w:sz w:val="18"/>
                <w:szCs w:val="18"/>
              </w:rPr>
              <w:t>18 mesi per i prestiti triennali;</w:t>
            </w:r>
          </w:p>
          <w:p w:rsidR="004954C1" w:rsidRDefault="004954C1" w:rsidP="004954C1">
            <w:pPr>
              <w:pStyle w:val="NormaleWeb"/>
              <w:numPr>
                <w:ilvl w:val="0"/>
                <w:numId w:val="20"/>
              </w:numPr>
              <w:spacing w:before="0" w:beforeAutospacing="0" w:after="160" w:afterAutospacing="0"/>
              <w:rPr>
                <w:rFonts w:ascii="Calibri" w:hAnsi="Calibri"/>
                <w:color w:val="000000"/>
                <w:sz w:val="22"/>
                <w:szCs w:val="22"/>
              </w:rPr>
            </w:pPr>
            <w:r>
              <w:rPr>
                <w:rFonts w:ascii="Tahoma" w:hAnsi="Tahoma" w:cs="Tahoma"/>
                <w:color w:val="000000"/>
                <w:sz w:val="18"/>
                <w:szCs w:val="18"/>
              </w:rPr>
              <w:t>24 mesi per i prestiti quadriennali.</w:t>
            </w:r>
          </w:p>
          <w:p w:rsidR="004954C1" w:rsidRDefault="004954C1" w:rsidP="004954C1">
            <w:pPr>
              <w:pStyle w:val="NormaleWeb"/>
              <w:spacing w:before="60" w:beforeAutospacing="0" w:after="60" w:afterAutospacing="0" w:line="256" w:lineRule="auto"/>
              <w:ind w:left="360"/>
              <w:rPr>
                <w:rFonts w:ascii="Calibri" w:hAnsi="Calibri"/>
                <w:color w:val="000000"/>
                <w:sz w:val="22"/>
                <w:szCs w:val="22"/>
              </w:rPr>
            </w:pPr>
            <w:r>
              <w:rPr>
                <w:rFonts w:ascii="Tahoma" w:hAnsi="Tahoma" w:cs="Tahoma"/>
                <w:color w:val="000000"/>
                <w:sz w:val="18"/>
                <w:szCs w:val="18"/>
              </w:rPr>
              <w:t>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L’amministrato deve poter rinnovare il prestito, entro i termini stabiliti da norma. La procedura di rinnovo può partire attraverso una nuova simulazione o direttamente attraverso una nuova richiesta di piccolo prestito. Il sistema deve tenere conto di tutti i vincoli temporali da norma e in base al prestito già fruito, attraverso opportuni controlli di sistema.</w:t>
            </w:r>
          </w:p>
          <w:p w:rsidR="004954C1" w:rsidRDefault="004954C1" w:rsidP="004954C1">
            <w:pPr>
              <w:pStyle w:val="NormaleWeb"/>
              <w:spacing w:before="0" w:beforeAutospacing="0" w:after="160" w:afterAutospacing="0" w:line="256" w:lineRule="auto"/>
              <w:rPr>
                <w:rFonts w:ascii="Calibri" w:hAnsi="Calibri"/>
                <w:color w:val="000000"/>
                <w:sz w:val="22"/>
                <w:szCs w:val="22"/>
              </w:rPr>
            </w:pPr>
            <w:r>
              <w:rPr>
                <w:rFonts w:ascii="Tahoma" w:hAnsi="Tahoma" w:cs="Tahoma"/>
                <w:color w:val="000000"/>
                <w:sz w:val="18"/>
                <w:szCs w:val="18"/>
              </w:rPr>
              <w:t> </w:t>
            </w:r>
          </w:p>
          <w:p w:rsidR="004954C1" w:rsidRDefault="004954C1" w:rsidP="004954C1">
            <w:pPr>
              <w:pStyle w:val="NormaleWeb"/>
              <w:spacing w:before="0" w:beforeAutospacing="0" w:after="160" w:afterAutospacing="0" w:line="256" w:lineRule="auto"/>
              <w:rPr>
                <w:rFonts w:ascii="Calibri" w:hAnsi="Calibri"/>
                <w:color w:val="000000"/>
                <w:sz w:val="22"/>
                <w:szCs w:val="22"/>
              </w:rPr>
            </w:pPr>
            <w:r>
              <w:rPr>
                <w:rFonts w:ascii="Tahoma" w:hAnsi="Tahoma" w:cs="Tahoma"/>
                <w:color w:val="000000"/>
                <w:sz w:val="18"/>
                <w:szCs w:val="18"/>
              </w:rPr>
              <w:t xml:space="preserve">Il Servizio nel nuovo portale deve considerare il protocollo di comunicazione esistente tra NoiPA e INPS che prevede uno scambio di informazioni tramite web service </w:t>
            </w:r>
          </w:p>
          <w:p w:rsidR="004954C1" w:rsidRDefault="004954C1" w:rsidP="004954C1">
            <w:pPr>
              <w:pStyle w:val="NormaleWeb"/>
              <w:spacing w:before="0" w:beforeAutospacing="0" w:after="160" w:afterAutospacing="0" w:line="256" w:lineRule="auto"/>
              <w:rPr>
                <w:rFonts w:ascii="Calibri" w:hAnsi="Calibri"/>
                <w:color w:val="000000"/>
                <w:sz w:val="22"/>
                <w:szCs w:val="22"/>
              </w:rPr>
            </w:pPr>
            <w:r>
              <w:rPr>
                <w:rFonts w:ascii="Tahoma" w:hAnsi="Tahoma" w:cs="Tahoma"/>
                <w:color w:val="000000"/>
                <w:sz w:val="18"/>
                <w:szCs w:val="18"/>
              </w:rPr>
              <w:t>L</w:t>
            </w:r>
            <w:r w:rsidRPr="004954C1">
              <w:rPr>
                <w:rFonts w:ascii="Calibri" w:hAnsi="Calibri"/>
                <w:color w:val="000000"/>
                <w:sz w:val="18"/>
                <w:szCs w:val="18"/>
                <w:lang w:val="it-IT"/>
              </w:rPr>
              <w:t>’</w:t>
            </w:r>
            <w:r>
              <w:rPr>
                <w:rFonts w:ascii="Tahoma" w:hAnsi="Tahoma" w:cs="Tahoma"/>
                <w:color w:val="000000"/>
                <w:sz w:val="18"/>
                <w:szCs w:val="18"/>
              </w:rPr>
              <w:t>Amministrato, attraverso le funzionalità presenti nella propria area riservata del nuovo Portale potrà effettuare le seguenti operazioni:</w:t>
            </w:r>
          </w:p>
          <w:p w:rsidR="004954C1" w:rsidRDefault="004954C1" w:rsidP="004954C1">
            <w:pPr>
              <w:pStyle w:val="NormaleWeb"/>
              <w:numPr>
                <w:ilvl w:val="1"/>
                <w:numId w:val="21"/>
              </w:numPr>
              <w:spacing w:before="0" w:beforeAutospacing="0" w:after="0" w:afterAutospacing="0" w:line="256" w:lineRule="auto"/>
              <w:jc w:val="both"/>
              <w:rPr>
                <w:rFonts w:ascii="Calibri" w:hAnsi="Calibri"/>
                <w:color w:val="000000"/>
                <w:sz w:val="22"/>
                <w:szCs w:val="22"/>
              </w:rPr>
            </w:pPr>
            <w:r>
              <w:rPr>
                <w:rFonts w:ascii="Tahoma" w:hAnsi="Tahoma" w:cs="Tahoma"/>
                <w:color w:val="000000"/>
                <w:sz w:val="18"/>
                <w:szCs w:val="18"/>
              </w:rPr>
              <w:t>simulazione prestito, con possibilità di conferma della simulazione e utilizzo della stessa ai fini dell’invio della domanda;</w:t>
            </w:r>
          </w:p>
          <w:p w:rsidR="004954C1" w:rsidRDefault="004954C1" w:rsidP="004954C1">
            <w:pPr>
              <w:pStyle w:val="NormaleWeb"/>
              <w:numPr>
                <w:ilvl w:val="1"/>
                <w:numId w:val="21"/>
              </w:numPr>
              <w:spacing w:before="0" w:beforeAutospacing="0" w:after="0" w:afterAutospacing="0" w:line="256" w:lineRule="auto"/>
              <w:rPr>
                <w:color w:val="000000"/>
              </w:rPr>
            </w:pPr>
            <w:r>
              <w:rPr>
                <w:rFonts w:ascii="Tahoma" w:hAnsi="Tahoma" w:cs="Tahoma"/>
                <w:color w:val="000000"/>
                <w:sz w:val="18"/>
                <w:szCs w:val="18"/>
              </w:rPr>
              <w:t>invio della domanda di prestito all’INPS;</w:t>
            </w:r>
          </w:p>
          <w:p w:rsidR="004954C1" w:rsidRDefault="004954C1" w:rsidP="004954C1">
            <w:pPr>
              <w:pStyle w:val="NormaleWeb"/>
              <w:numPr>
                <w:ilvl w:val="1"/>
                <w:numId w:val="21"/>
              </w:numPr>
              <w:spacing w:before="0" w:beforeAutospacing="0" w:after="0" w:afterAutospacing="0" w:line="256" w:lineRule="auto"/>
              <w:rPr>
                <w:color w:val="000000"/>
              </w:rPr>
            </w:pPr>
            <w:r>
              <w:rPr>
                <w:rFonts w:ascii="Tahoma" w:hAnsi="Tahoma" w:cs="Tahoma"/>
                <w:color w:val="000000"/>
                <w:sz w:val="18"/>
                <w:szCs w:val="18"/>
              </w:rPr>
              <w:t>rinuncia al prestito erogato da INPS, purche non sia ancora stata applicata la ritenuta;</w:t>
            </w:r>
          </w:p>
          <w:p w:rsidR="004954C1" w:rsidRDefault="004954C1" w:rsidP="004954C1">
            <w:pPr>
              <w:pStyle w:val="NormaleWeb"/>
              <w:numPr>
                <w:ilvl w:val="1"/>
                <w:numId w:val="21"/>
              </w:numPr>
              <w:spacing w:before="0" w:beforeAutospacing="0" w:after="0" w:afterAutospacing="0" w:line="256" w:lineRule="auto"/>
              <w:rPr>
                <w:color w:val="000000"/>
              </w:rPr>
            </w:pPr>
            <w:r>
              <w:rPr>
                <w:rFonts w:ascii="Tahoma" w:hAnsi="Tahoma" w:cs="Tahoma"/>
                <w:color w:val="000000"/>
                <w:sz w:val="18"/>
                <w:szCs w:val="18"/>
              </w:rPr>
              <w:t>Visualizzazione dello stato di avanzamento della domanda di piccolo prestito.;</w:t>
            </w:r>
          </w:p>
          <w:p w:rsidR="004954C1" w:rsidRDefault="004954C1" w:rsidP="004954C1">
            <w:pPr>
              <w:pStyle w:val="NormaleWeb"/>
              <w:numPr>
                <w:ilvl w:val="1"/>
                <w:numId w:val="21"/>
              </w:numPr>
              <w:spacing w:before="0" w:beforeAutospacing="0" w:after="0" w:afterAutospacing="0" w:line="256" w:lineRule="auto"/>
              <w:rPr>
                <w:color w:val="000000"/>
              </w:rPr>
            </w:pPr>
            <w:r>
              <w:rPr>
                <w:rFonts w:ascii="Tahoma" w:hAnsi="Tahoma" w:cs="Tahoma"/>
                <w:color w:val="000000"/>
                <w:sz w:val="18"/>
                <w:szCs w:val="18"/>
              </w:rPr>
              <w:t>Invio della domanda di estinzione anticipata all’INPS.</w:t>
            </w:r>
          </w:p>
          <w:p w:rsidR="004954C1" w:rsidRDefault="004954C1" w:rsidP="004954C1">
            <w:pPr>
              <w:pStyle w:val="NormaleWeb"/>
              <w:spacing w:before="0" w:beforeAutospacing="0" w:after="160" w:afterAutospacing="0" w:line="256" w:lineRule="auto"/>
              <w:rPr>
                <w:rFonts w:ascii="Calibri" w:hAnsi="Calibri"/>
                <w:color w:val="000000"/>
                <w:sz w:val="22"/>
                <w:szCs w:val="22"/>
              </w:rPr>
            </w:pPr>
            <w:r>
              <w:rPr>
                <w:rFonts w:ascii="Tahoma" w:hAnsi="Tahoma" w:cs="Tahoma"/>
                <w:color w:val="000000"/>
                <w:sz w:val="18"/>
                <w:szCs w:val="18"/>
              </w:rPr>
              <w:t> </w:t>
            </w:r>
          </w:p>
          <w:p w:rsidR="004954C1" w:rsidRDefault="004954C1" w:rsidP="004954C1">
            <w:pPr>
              <w:pStyle w:val="NormaleWeb"/>
              <w:spacing w:before="0" w:beforeAutospacing="0" w:after="160" w:afterAutospacing="0" w:line="256" w:lineRule="auto"/>
              <w:rPr>
                <w:rFonts w:ascii="Calibri" w:hAnsi="Calibri"/>
                <w:color w:val="000000"/>
                <w:sz w:val="22"/>
                <w:szCs w:val="22"/>
              </w:rPr>
            </w:pPr>
            <w:r>
              <w:rPr>
                <w:rFonts w:ascii="Tahoma" w:hAnsi="Tahoma" w:cs="Tahoma"/>
                <w:color w:val="000000"/>
                <w:sz w:val="18"/>
                <w:szCs w:val="18"/>
              </w:rPr>
              <w:t>Nel caso in cui l</w:t>
            </w:r>
            <w:r w:rsidRPr="004954C1">
              <w:rPr>
                <w:rFonts w:ascii="Calibri" w:hAnsi="Calibri"/>
                <w:color w:val="000000"/>
                <w:sz w:val="18"/>
                <w:szCs w:val="18"/>
                <w:lang w:val="it-IT"/>
              </w:rPr>
              <w:t>’</w:t>
            </w:r>
            <w:r>
              <w:rPr>
                <w:rFonts w:ascii="Tahoma" w:hAnsi="Tahoma" w:cs="Tahoma"/>
                <w:color w:val="000000"/>
                <w:sz w:val="18"/>
                <w:szCs w:val="18"/>
              </w:rPr>
              <w:t xml:space="preserve">Amministrato abbia più rapporti di lavoro, il sistema consentirà di scegliere quello su cui dovrà essere applicata la ritenuta per piccolo prestito. </w:t>
            </w:r>
          </w:p>
          <w:p w:rsidR="004954C1" w:rsidRDefault="004954C1" w:rsidP="004954C1">
            <w:pPr>
              <w:pStyle w:val="NormaleWeb"/>
              <w:spacing w:before="0" w:beforeAutospacing="0" w:after="160" w:afterAutospacing="0" w:line="256" w:lineRule="auto"/>
              <w:rPr>
                <w:rFonts w:ascii="Calibri" w:hAnsi="Calibri"/>
                <w:color w:val="000000"/>
                <w:sz w:val="22"/>
                <w:szCs w:val="22"/>
              </w:rPr>
            </w:pPr>
            <w:r>
              <w:rPr>
                <w:rFonts w:ascii="Tahoma" w:hAnsi="Tahoma" w:cs="Tahoma"/>
                <w:b/>
                <w:bCs/>
                <w:color w:val="000000"/>
                <w:sz w:val="18"/>
                <w:szCs w:val="18"/>
                <w:u w:val="single"/>
              </w:rPr>
              <w:t>Simulazione del prestito</w:t>
            </w:r>
            <w:r>
              <w:rPr>
                <w:rFonts w:ascii="Tahoma" w:hAnsi="Tahoma" w:cs="Tahoma"/>
                <w:color w:val="000000"/>
                <w:sz w:val="18"/>
                <w:szCs w:val="18"/>
              </w:rPr>
              <w:t xml:space="preserve"> </w:t>
            </w:r>
          </w:p>
          <w:p w:rsidR="004954C1" w:rsidRDefault="004954C1" w:rsidP="004954C1">
            <w:pPr>
              <w:pStyle w:val="NormaleWeb"/>
              <w:spacing w:before="0" w:beforeAutospacing="0" w:after="160" w:afterAutospacing="0" w:line="256" w:lineRule="auto"/>
              <w:rPr>
                <w:rFonts w:ascii="Calibri" w:hAnsi="Calibri"/>
                <w:color w:val="000000"/>
                <w:sz w:val="22"/>
                <w:szCs w:val="22"/>
              </w:rPr>
            </w:pPr>
            <w:r>
              <w:rPr>
                <w:rFonts w:ascii="Tahoma" w:hAnsi="Tahoma" w:cs="Tahoma"/>
                <w:color w:val="000000"/>
                <w:sz w:val="18"/>
                <w:szCs w:val="18"/>
              </w:rPr>
              <w:t>All’apertura della maschera, il sistema deve prospettare l’importo erogabile per ciascuna delle tipologie di prestito definite da INPS nonché l’importo della ritenuta mensile Quindi la simulazione  potrà essere richiesta secondo diversi criteri:</w:t>
            </w:r>
          </w:p>
          <w:p w:rsidR="004954C1" w:rsidRDefault="004954C1" w:rsidP="004954C1">
            <w:pPr>
              <w:pStyle w:val="NormaleWeb"/>
              <w:numPr>
                <w:ilvl w:val="0"/>
                <w:numId w:val="22"/>
              </w:numPr>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partendo dall’importo totale del prestito fino al massimo erogabile e numero delle annualità  secondo le suindicate tipologie di prestito previste da INPS .</w:t>
            </w:r>
          </w:p>
          <w:p w:rsidR="004954C1" w:rsidRDefault="004954C1" w:rsidP="004954C1">
            <w:pPr>
              <w:pStyle w:val="NormaleWeb"/>
              <w:numPr>
                <w:ilvl w:val="0"/>
                <w:numId w:val="22"/>
              </w:numPr>
              <w:spacing w:before="60" w:beforeAutospacing="0" w:after="60" w:afterAutospacing="0" w:line="256" w:lineRule="auto"/>
              <w:rPr>
                <w:color w:val="000000"/>
              </w:rPr>
            </w:pPr>
            <w:r>
              <w:rPr>
                <w:rFonts w:ascii="Tahoma" w:hAnsi="Tahoma" w:cs="Tahoma"/>
                <w:color w:val="000000"/>
                <w:sz w:val="18"/>
                <w:szCs w:val="18"/>
              </w:rPr>
              <w:t> importo della rata fino al massimo cedibile e numero delle rate delle annualità (es. 416 euro al mese per 12 rate)Il sistema deve prospettare l’esito della/e simulazione/i con l’evidenza del tasso di interesse applicato (come da circolare INPS)</w:t>
            </w:r>
          </w:p>
          <w:p w:rsidR="004954C1" w:rsidRDefault="004954C1" w:rsidP="004954C1">
            <w:pPr>
              <w:pStyle w:val="NormaleWeb"/>
              <w:spacing w:before="60" w:beforeAutospacing="0" w:after="60" w:afterAutospacing="0" w:line="256" w:lineRule="auto"/>
              <w:ind w:left="708"/>
              <w:rPr>
                <w:rFonts w:ascii="Calibri" w:hAnsi="Calibri"/>
                <w:color w:val="000000"/>
                <w:sz w:val="22"/>
                <w:szCs w:val="22"/>
              </w:rPr>
            </w:pPr>
            <w:r>
              <w:rPr>
                <w:rFonts w:ascii="Tahoma" w:hAnsi="Tahoma" w:cs="Tahoma"/>
                <w:color w:val="000000"/>
                <w:sz w:val="18"/>
                <w:szCs w:val="18"/>
              </w:rPr>
              <w:lastRenderedPageBreak/>
              <w:t>Il sistema deve prospettare l’esito della/e simulazione/i con l’evidenza del tasso di interesse applicato (come da circolare INPS), con la possibilità di salvarla/e e di procedere ad un eventuale confronto tra le stesse ed individuare quella di interesse al fine di inviare la richiesta.</w:t>
            </w:r>
          </w:p>
          <w:p w:rsidR="004954C1" w:rsidRDefault="004954C1" w:rsidP="004954C1">
            <w:pPr>
              <w:pStyle w:val="NormaleWeb"/>
              <w:spacing w:before="60" w:beforeAutospacing="0" w:after="60" w:afterAutospacing="0" w:line="256" w:lineRule="auto"/>
              <w:ind w:left="708"/>
              <w:rPr>
                <w:rFonts w:ascii="Calibri" w:hAnsi="Calibri"/>
                <w:color w:val="000000"/>
                <w:sz w:val="22"/>
                <w:szCs w:val="22"/>
              </w:rPr>
            </w:pPr>
            <w:r>
              <w:rPr>
                <w:rFonts w:ascii="Tahoma" w:hAnsi="Tahoma" w:cs="Tahoma"/>
                <w:color w:val="000000"/>
                <w:sz w:val="18"/>
                <w:szCs w:val="18"/>
              </w:rPr>
              <w:t>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 xml:space="preserve">Il sistema effettua i controlli come definito in </w:t>
            </w:r>
            <w:r>
              <w:rPr>
                <w:rFonts w:ascii="Tahoma" w:hAnsi="Tahoma" w:cs="Tahoma"/>
                <w:i/>
                <w:iCs/>
                <w:color w:val="000000"/>
                <w:sz w:val="18"/>
                <w:szCs w:val="18"/>
              </w:rPr>
              <w:t>TCLD_EGR0_FGIR0 - Gestione Inserimento Ritenute</w:t>
            </w:r>
            <w:r>
              <w:rPr>
                <w:rFonts w:ascii="Tahoma" w:hAnsi="Tahoma" w:cs="Tahoma"/>
                <w:color w:val="000000"/>
                <w:sz w:val="18"/>
                <w:szCs w:val="18"/>
              </w:rPr>
              <w:t xml:space="preserve"> e, in caso positivo, deve fornire evidenza della somma totale del prestito e della rata mensile lorda della ritenuta senza il calcolo degli interessi dovuti. L’amministrato deve essere informato che gli interessi non sono considerati nel calcolo.</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 xml:space="preserve">Il sistema deve mostrare la situazione riepilogativa della posizione dell’amministrato, comprensiva dei dati della richiesta da inviare. </w:t>
            </w:r>
          </w:p>
          <w:p w:rsidR="004954C1" w:rsidRDefault="004954C1" w:rsidP="004954C1">
            <w:pPr>
              <w:pStyle w:val="NormaleWeb"/>
              <w:spacing w:before="60" w:beforeAutospacing="0" w:after="60" w:afterAutospacing="0" w:line="256" w:lineRule="auto"/>
              <w:ind w:left="360"/>
              <w:jc w:val="both"/>
              <w:rPr>
                <w:rFonts w:ascii="Calibri" w:hAnsi="Calibri"/>
                <w:color w:val="000000"/>
                <w:sz w:val="22"/>
                <w:szCs w:val="22"/>
              </w:rPr>
            </w:pPr>
            <w:r>
              <w:rPr>
                <w:rFonts w:ascii="Tahoma" w:hAnsi="Tahoma" w:cs="Tahoma"/>
                <w:b/>
                <w:bCs/>
                <w:color w:val="000000"/>
                <w:sz w:val="18"/>
                <w:szCs w:val="18"/>
              </w:rPr>
              <w:t>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b/>
                <w:bCs/>
                <w:color w:val="000000"/>
                <w:sz w:val="18"/>
                <w:szCs w:val="18"/>
                <w:u w:val="single"/>
              </w:rPr>
              <w:t>Invio della Richiesta  di prestito all’INPS</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all’apertura della maschera il sistema prospetterà, tra i dati retributivi, l’importo del quinto cedibile e l’importo massimo erogabile, in base alle tipologie di prestito previste da INPS rispetto allo stipendio  dell’Amministrato al momento della richiesta.</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Il sistema mostrerà, inoltre, l’IBAN (corrispondente a quello su cui viene versato lo stipendio per il relativo rapporto di lavoro) su cui sarà accreditato l’importo erogato dall’INPS.</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La richiesta inviata ad INPS, viene sottoposta ai controlli previsti nel  flusso concordato con l’Istituto.</w:t>
            </w:r>
          </w:p>
          <w:p w:rsidR="004954C1" w:rsidRDefault="004954C1" w:rsidP="004954C1">
            <w:pPr>
              <w:pStyle w:val="NormaleWeb"/>
              <w:spacing w:before="0" w:beforeAutospacing="0" w:after="160" w:afterAutospacing="0" w:line="256" w:lineRule="auto"/>
              <w:rPr>
                <w:rFonts w:ascii="Calibri" w:hAnsi="Calibri"/>
                <w:color w:val="000000"/>
                <w:sz w:val="22"/>
                <w:szCs w:val="22"/>
              </w:rPr>
            </w:pPr>
            <w:r>
              <w:rPr>
                <w:rFonts w:ascii="Tahoma" w:hAnsi="Tahoma" w:cs="Tahoma"/>
                <w:color w:val="000000"/>
                <w:sz w:val="18"/>
                <w:szCs w:val="18"/>
              </w:rPr>
              <w:t xml:space="preserve">Con la conferma da parte dell’amministrato, il sistema deve comunicare all’INPS i dati utili a valutare correttamente la richiesta.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A fronte dell’invio della richiesta, INPS restituisce al sistema NoiPa l’identificativo della stessa (es. numero di protocollo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 xml:space="preserve">L’INPS deve poter approvare la richiesta di piccolo prestito comunicando il piano di ammortamento o rigettare l’istanza.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In caso di approvazione della richiesta, il sistema deve provvedere a prenotare l’applicazione della ritenuta sulla prima rata utile e contestualmente inviare una opportuna comunicazione  all’ufficio del trattamento economico dell’amministrato.</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La conferma della richiesta di piccolo prestito da parte dell’Amministrato, sia che parta dalla simulazione che direttamente dalla funzionalità di richiesta del prestito, deve essere effettuata con autenticazione forte (CNS, SPID e PIN)</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b/>
                <w:bCs/>
                <w:color w:val="000000"/>
                <w:sz w:val="18"/>
                <w:szCs w:val="18"/>
                <w:u w:val="single"/>
              </w:rPr>
              <w:t>Rinuncia al Piccolo Prestito</w:t>
            </w:r>
            <w:r>
              <w:rPr>
                <w:rFonts w:ascii="Tahoma" w:hAnsi="Tahoma" w:cs="Tahoma"/>
                <w:color w:val="000000"/>
                <w:sz w:val="18"/>
                <w:szCs w:val="18"/>
              </w:rPr>
              <w:t xml:space="preserve">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La funzionalità consente all’amministrato di rinunciare ad una richiesta di Piccolo Prestito  inviata  e non ancora lavorata da parte dell’INPS . Nella schermata vengono riportati i dati del prestito richiesto (importo, numero delle rate e data di richiesta del prestito). Anche per la rinuncia, deve essere prevista l’autenticazione forte da parte dell’Amministrato. La rinuncia deve essere notificata anche dal datore di lavoro dell’Amministrato</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b/>
                <w:bCs/>
                <w:sz w:val="18"/>
                <w:szCs w:val="18"/>
                <w:u w:val="single"/>
              </w:rPr>
              <w:t>Visualizzazione Piccolo Prestito</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sz w:val="18"/>
                <w:szCs w:val="18"/>
              </w:rPr>
              <w:t xml:space="preserve">La funzionalità restituisce all’Amministrato le informazioni relative allo stato di avanzamento della richiesta. Pertanto nella maschera in visualizzazione saranno presenti alcuni dati di rilievo quali, ad esempio, l’importo richiesto, il numero delle rate per l’ammortamento, la data della richiesta, l’ID attribuito da INPS alla richiesta   e lo stato della stessa. Quest’ultimo campo si riferisce alle informazioni derivanti dallo stato di lavorazione della richiesta da parte dell’INPS. In particolare gli stati della richiesta attualmente gestiti sono: </w:t>
            </w:r>
          </w:p>
          <w:p w:rsidR="004954C1" w:rsidRDefault="004954C1" w:rsidP="004954C1">
            <w:pPr>
              <w:pStyle w:val="NormaleWeb"/>
              <w:numPr>
                <w:ilvl w:val="0"/>
                <w:numId w:val="23"/>
              </w:numPr>
              <w:spacing w:before="0" w:beforeAutospacing="0" w:after="0" w:afterAutospacing="0" w:line="256" w:lineRule="auto"/>
              <w:rPr>
                <w:rFonts w:ascii="Calibri" w:hAnsi="Calibri"/>
                <w:color w:val="000000"/>
                <w:sz w:val="22"/>
                <w:szCs w:val="22"/>
              </w:rPr>
            </w:pPr>
            <w:r>
              <w:rPr>
                <w:rFonts w:ascii="Tahoma" w:hAnsi="Tahoma" w:cs="Tahoma"/>
                <w:sz w:val="18"/>
                <w:szCs w:val="18"/>
              </w:rPr>
              <w:t xml:space="preserve">In lavorazione: nel caso in cui la richiesta sia stata inviata e registrata ma non ancora trasmessa al sistema INPS o al sistema NoiPA, </w:t>
            </w:r>
          </w:p>
          <w:p w:rsidR="004954C1" w:rsidRDefault="004954C1" w:rsidP="004954C1">
            <w:pPr>
              <w:pStyle w:val="NormaleWeb"/>
              <w:numPr>
                <w:ilvl w:val="0"/>
                <w:numId w:val="23"/>
              </w:numPr>
              <w:spacing w:before="0" w:beforeAutospacing="0" w:after="125" w:afterAutospacing="0" w:line="256" w:lineRule="auto"/>
              <w:rPr>
                <w:rFonts w:ascii="Trebuchet MS" w:hAnsi="Trebuchet MS"/>
                <w:color w:val="000000"/>
              </w:rPr>
            </w:pPr>
            <w:r>
              <w:rPr>
                <w:rFonts w:ascii="Tahoma" w:hAnsi="Tahoma" w:cs="Tahoma"/>
                <w:sz w:val="18"/>
                <w:szCs w:val="18"/>
              </w:rPr>
              <w:t xml:space="preserve">Rinunciata: nel caso in cui la richiesta inviata sia stata ritirata dall’utente </w:t>
            </w:r>
          </w:p>
          <w:p w:rsidR="004954C1" w:rsidRDefault="004954C1" w:rsidP="004954C1">
            <w:pPr>
              <w:pStyle w:val="NormaleWeb"/>
              <w:numPr>
                <w:ilvl w:val="0"/>
                <w:numId w:val="23"/>
              </w:numPr>
              <w:spacing w:before="0" w:beforeAutospacing="0" w:after="125" w:afterAutospacing="0" w:line="256" w:lineRule="auto"/>
              <w:rPr>
                <w:rFonts w:ascii="Trebuchet MS" w:hAnsi="Trebuchet MS"/>
                <w:color w:val="000000"/>
              </w:rPr>
            </w:pPr>
            <w:r>
              <w:rPr>
                <w:rFonts w:ascii="Tahoma" w:hAnsi="Tahoma" w:cs="Tahoma"/>
                <w:sz w:val="18"/>
                <w:szCs w:val="18"/>
              </w:rPr>
              <w:t xml:space="preserve">Rinuncia errata: nel caso in cui sia stata inoltrata richiesta di rinuncia ma la stessa non sia andata a buon fine a causa di un errore nell’invio </w:t>
            </w:r>
          </w:p>
          <w:p w:rsidR="004954C1" w:rsidRDefault="004954C1" w:rsidP="004954C1">
            <w:pPr>
              <w:pStyle w:val="NormaleWeb"/>
              <w:numPr>
                <w:ilvl w:val="0"/>
                <w:numId w:val="23"/>
              </w:numPr>
              <w:spacing w:before="0" w:beforeAutospacing="0" w:after="125" w:afterAutospacing="0" w:line="256" w:lineRule="auto"/>
              <w:rPr>
                <w:rFonts w:ascii="Trebuchet MS" w:hAnsi="Trebuchet MS"/>
                <w:color w:val="000000"/>
              </w:rPr>
            </w:pPr>
            <w:r>
              <w:rPr>
                <w:rFonts w:ascii="Tahoma" w:hAnsi="Tahoma" w:cs="Tahoma"/>
                <w:sz w:val="18"/>
                <w:szCs w:val="18"/>
              </w:rPr>
              <w:t xml:space="preserve">Annullata: nel caso in cui sia stato comunicato al sistema NoiPA l’annullamento della domanda </w:t>
            </w:r>
          </w:p>
          <w:p w:rsidR="004954C1" w:rsidRDefault="004954C1" w:rsidP="004954C1">
            <w:pPr>
              <w:pStyle w:val="NormaleWeb"/>
              <w:numPr>
                <w:ilvl w:val="0"/>
                <w:numId w:val="23"/>
              </w:numPr>
              <w:spacing w:before="0" w:beforeAutospacing="0" w:after="125" w:afterAutospacing="0" w:line="256" w:lineRule="auto"/>
              <w:rPr>
                <w:rFonts w:ascii="Trebuchet MS" w:hAnsi="Trebuchet MS"/>
                <w:color w:val="000000"/>
              </w:rPr>
            </w:pPr>
            <w:r>
              <w:rPr>
                <w:rFonts w:ascii="Tahoma" w:hAnsi="Tahoma" w:cs="Tahoma"/>
                <w:sz w:val="18"/>
                <w:szCs w:val="18"/>
              </w:rPr>
              <w:t xml:space="preserve">Rigettata: nel caso in cui la richiesta sia stata analizzata dall’INPS ma non sia stata autorizzata </w:t>
            </w:r>
          </w:p>
          <w:p w:rsidR="004954C1" w:rsidRDefault="004954C1" w:rsidP="004954C1">
            <w:pPr>
              <w:pStyle w:val="NormaleWeb"/>
              <w:numPr>
                <w:ilvl w:val="0"/>
                <w:numId w:val="23"/>
              </w:numPr>
              <w:spacing w:before="0" w:beforeAutospacing="0" w:after="0" w:afterAutospacing="0" w:line="256" w:lineRule="auto"/>
              <w:rPr>
                <w:rFonts w:ascii="Trebuchet MS" w:hAnsi="Trebuchet MS"/>
                <w:color w:val="000000"/>
              </w:rPr>
            </w:pPr>
            <w:r>
              <w:rPr>
                <w:rFonts w:ascii="Tahoma" w:hAnsi="Tahoma" w:cs="Tahoma"/>
                <w:sz w:val="18"/>
                <w:szCs w:val="18"/>
              </w:rPr>
              <w:t xml:space="preserve">Erogata: nel caso in cui la richiesta sia stata autorizzata ed erogata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Nella stessa funzionalità di visualizzazione l’amministrato deve poter visualizzare lo storico dei piccoli prestiti, con le informazioni di dettaglio di ognuno di essi.</w:t>
            </w:r>
          </w:p>
          <w:p w:rsidR="004954C1" w:rsidRDefault="004954C1" w:rsidP="004954C1">
            <w:pPr>
              <w:pStyle w:val="NormaleWeb"/>
              <w:spacing w:before="0" w:beforeAutospacing="0" w:after="160" w:afterAutospacing="0" w:line="256" w:lineRule="auto"/>
              <w:rPr>
                <w:rFonts w:ascii="Calibri" w:hAnsi="Calibri"/>
                <w:color w:val="000000"/>
                <w:sz w:val="22"/>
                <w:szCs w:val="22"/>
              </w:rPr>
            </w:pPr>
            <w:r>
              <w:rPr>
                <w:rFonts w:ascii="Tahoma" w:hAnsi="Tahoma" w:cs="Tahoma"/>
                <w:color w:val="000000"/>
                <w:sz w:val="18"/>
                <w:szCs w:val="18"/>
              </w:rPr>
              <w:t> </w:t>
            </w:r>
          </w:p>
          <w:p w:rsidR="004954C1" w:rsidRDefault="004954C1" w:rsidP="004954C1">
            <w:pPr>
              <w:pStyle w:val="NormaleWeb"/>
              <w:spacing w:before="60" w:beforeAutospacing="0" w:after="60" w:afterAutospacing="0"/>
              <w:jc w:val="both"/>
              <w:rPr>
                <w:rFonts w:ascii="Calibri" w:hAnsi="Calibri"/>
                <w:color w:val="000000"/>
                <w:sz w:val="22"/>
                <w:szCs w:val="22"/>
              </w:rPr>
            </w:pPr>
            <w:r>
              <w:rPr>
                <w:rFonts w:ascii="Tahoma" w:hAnsi="Tahoma" w:cs="Tahoma"/>
                <w:b/>
                <w:bCs/>
                <w:color w:val="000000"/>
                <w:sz w:val="18"/>
                <w:szCs w:val="18"/>
                <w:u w:val="single"/>
              </w:rPr>
              <w:t>Estinzione anticipata piccolo prestito</w:t>
            </w:r>
          </w:p>
          <w:p w:rsidR="004954C1" w:rsidRDefault="004954C1" w:rsidP="004954C1">
            <w:pPr>
              <w:pStyle w:val="NormaleWeb"/>
              <w:spacing w:before="60" w:beforeAutospacing="0" w:after="60" w:afterAutospacing="0"/>
              <w:jc w:val="both"/>
              <w:rPr>
                <w:rFonts w:ascii="Calibri" w:hAnsi="Calibri"/>
                <w:color w:val="000000"/>
                <w:sz w:val="22"/>
                <w:szCs w:val="22"/>
              </w:rPr>
            </w:pPr>
            <w:r>
              <w:rPr>
                <w:rFonts w:ascii="Tahoma" w:hAnsi="Tahoma" w:cs="Tahoma"/>
                <w:color w:val="000000"/>
                <w:sz w:val="18"/>
                <w:szCs w:val="18"/>
              </w:rPr>
              <w:lastRenderedPageBreak/>
              <w:t>Rispetto all’attuale processo, nel nuovo sistema l’amministrato deve poter  gestire la richiesta di  estinzione anticipata di un prestito in corso di ammortamento. Per la Gestione della richiesta di estinzione anticipata deve essere creata una nuova maschera in cui l’Amministrato possa selezionare il piccolo prestito in corso da estinguere..</w:t>
            </w:r>
          </w:p>
          <w:p w:rsidR="004954C1" w:rsidRDefault="004954C1" w:rsidP="004954C1">
            <w:pPr>
              <w:pStyle w:val="NormaleWeb"/>
              <w:spacing w:before="60" w:beforeAutospacing="0" w:after="60" w:afterAutospacing="0"/>
              <w:jc w:val="both"/>
              <w:rPr>
                <w:rFonts w:ascii="Calibri" w:hAnsi="Calibri"/>
                <w:color w:val="000000"/>
                <w:sz w:val="22"/>
                <w:szCs w:val="22"/>
              </w:rPr>
            </w:pPr>
            <w:r>
              <w:rPr>
                <w:rFonts w:ascii="Tahoma" w:hAnsi="Tahoma" w:cs="Tahoma"/>
                <w:color w:val="000000"/>
                <w:sz w:val="18"/>
                <w:szCs w:val="18"/>
              </w:rPr>
              <w:t>Alla selezione della richiesta di estinzione,  il sistema propone  i dati di dettaglio relativi al prestito e l’amministrato deve inviare la richiesta con autenticazione forte.</w:t>
            </w:r>
          </w:p>
          <w:p w:rsidR="004954C1" w:rsidRDefault="004954C1" w:rsidP="004954C1">
            <w:pPr>
              <w:pStyle w:val="NormaleWeb"/>
              <w:spacing w:before="60" w:beforeAutospacing="0" w:after="60" w:afterAutospacing="0"/>
              <w:jc w:val="both"/>
              <w:rPr>
                <w:rFonts w:ascii="Calibri" w:hAnsi="Calibri"/>
                <w:color w:val="000000"/>
                <w:sz w:val="22"/>
                <w:szCs w:val="22"/>
              </w:rPr>
            </w:pPr>
            <w:r>
              <w:rPr>
                <w:rFonts w:ascii="Tahoma" w:hAnsi="Tahoma" w:cs="Tahoma"/>
                <w:color w:val="000000"/>
                <w:sz w:val="18"/>
                <w:szCs w:val="18"/>
              </w:rPr>
              <w:t>Una volta inviata dall’Amministrato,  la richiesta viene trasmessa ad INPS che provvede ad aprire una nuova pratica con le medesime caratteristiche delle richieste di prestito (ID pratica, dettaglio importo e rate, stato della pratica).</w:t>
            </w:r>
          </w:p>
          <w:p w:rsidR="004954C1" w:rsidRDefault="004954C1" w:rsidP="004954C1">
            <w:pPr>
              <w:pStyle w:val="NormaleWeb"/>
              <w:spacing w:before="60" w:beforeAutospacing="0" w:after="60" w:afterAutospacing="0"/>
              <w:jc w:val="both"/>
              <w:rPr>
                <w:rFonts w:ascii="Calibri" w:hAnsi="Calibri"/>
                <w:color w:val="000000"/>
                <w:sz w:val="22"/>
                <w:szCs w:val="22"/>
              </w:rPr>
            </w:pPr>
            <w:r>
              <w:rPr>
                <w:rFonts w:ascii="Tahoma" w:hAnsi="Tahoma" w:cs="Tahoma"/>
                <w:color w:val="000000"/>
                <w:sz w:val="18"/>
                <w:szCs w:val="18"/>
              </w:rPr>
              <w:t> </w:t>
            </w:r>
          </w:p>
          <w:p w:rsidR="004954C1" w:rsidRDefault="004954C1" w:rsidP="004954C1">
            <w:pPr>
              <w:pStyle w:val="NormaleWeb"/>
              <w:spacing w:before="60" w:beforeAutospacing="0" w:after="60" w:afterAutospacing="0"/>
              <w:jc w:val="both"/>
              <w:rPr>
                <w:rFonts w:ascii="Calibri" w:hAnsi="Calibri"/>
                <w:color w:val="000000"/>
                <w:sz w:val="22"/>
                <w:szCs w:val="22"/>
              </w:rPr>
            </w:pPr>
            <w:r>
              <w:rPr>
                <w:rFonts w:ascii="Tahoma" w:hAnsi="Tahoma" w:cs="Tahoma"/>
                <w:color w:val="000000"/>
                <w:sz w:val="18"/>
                <w:szCs w:val="18"/>
              </w:rPr>
              <w:t xml:space="preserve">All’atto della richiesta di estinzione l’INPS avvia i necessari  procedimenti amministrativi fuori Sistema NoiPA e, una volta espletati, comunica all’Amministrato, nell’rea privata del portale e tramite mail i tempi e le modalità di restituzione dell’importo residuo da estinguere. </w:t>
            </w:r>
          </w:p>
          <w:p w:rsidR="004954C1" w:rsidRDefault="004954C1" w:rsidP="004954C1">
            <w:pPr>
              <w:pStyle w:val="NormaleWeb"/>
              <w:spacing w:before="60" w:beforeAutospacing="0" w:after="60" w:afterAutospacing="0"/>
              <w:jc w:val="both"/>
              <w:rPr>
                <w:rFonts w:ascii="Calibri" w:hAnsi="Calibri"/>
                <w:color w:val="000000"/>
                <w:sz w:val="22"/>
                <w:szCs w:val="22"/>
              </w:rPr>
            </w:pPr>
            <w:r>
              <w:rPr>
                <w:rFonts w:ascii="Tahoma" w:hAnsi="Tahoma" w:cs="Tahoma"/>
                <w:color w:val="000000"/>
                <w:sz w:val="18"/>
                <w:szCs w:val="18"/>
              </w:rPr>
              <w:t>In una apposita maschera l’amministrato, con autenticazione forte,  deve poter inserire le informazioni attestanti l’avvenuta estinzione del debito residuo con le modalità e i tempi previsti da iNPS.</w:t>
            </w:r>
          </w:p>
          <w:p w:rsidR="004954C1" w:rsidRDefault="004954C1" w:rsidP="004954C1">
            <w:pPr>
              <w:pStyle w:val="NormaleWeb"/>
              <w:spacing w:before="60" w:beforeAutospacing="0" w:after="60" w:afterAutospacing="0"/>
              <w:jc w:val="both"/>
              <w:rPr>
                <w:rFonts w:ascii="Calibri" w:hAnsi="Calibri"/>
                <w:color w:val="000000"/>
                <w:sz w:val="22"/>
                <w:szCs w:val="22"/>
              </w:rPr>
            </w:pPr>
            <w:r>
              <w:rPr>
                <w:rFonts w:ascii="Tahoma" w:hAnsi="Tahoma" w:cs="Tahoma"/>
                <w:color w:val="000000"/>
                <w:sz w:val="18"/>
                <w:szCs w:val="18"/>
              </w:rPr>
              <w:t>INPS effettua i controlli dovuti e comunica al sistema la cessazione della ritenuta in corso e  la relativa decorrenza .</w:t>
            </w:r>
          </w:p>
          <w:p w:rsidR="004954C1" w:rsidRDefault="004954C1" w:rsidP="004954C1">
            <w:pPr>
              <w:pStyle w:val="NormaleWeb"/>
              <w:spacing w:before="60" w:beforeAutospacing="0" w:after="60" w:afterAutospacing="0"/>
              <w:jc w:val="both"/>
              <w:rPr>
                <w:rFonts w:ascii="Calibri" w:hAnsi="Calibri"/>
                <w:color w:val="000000"/>
                <w:sz w:val="22"/>
                <w:szCs w:val="22"/>
              </w:rPr>
            </w:pPr>
            <w:r>
              <w:rPr>
                <w:rFonts w:ascii="Tahoma" w:hAnsi="Tahoma" w:cs="Tahoma"/>
                <w:color w:val="000000"/>
                <w:sz w:val="18"/>
                <w:szCs w:val="18"/>
              </w:rPr>
              <w:t xml:space="preserve">Qualora la cessazione della ritenuta venga effettuata da sistema in ritardo rispetto alla decorrenza indicata da INPS, il sistema deve provvedere automaticamente a rimborsare gli importi in più trattenuti all’Amministrato (Epica Gestione Ritenute). </w:t>
            </w:r>
          </w:p>
          <w:p w:rsidR="004954C1" w:rsidRDefault="004954C1" w:rsidP="004954C1">
            <w:pPr>
              <w:pStyle w:val="NormaleWeb"/>
              <w:spacing w:before="60" w:beforeAutospacing="0" w:after="60" w:afterAutospacing="0"/>
              <w:jc w:val="both"/>
              <w:rPr>
                <w:rFonts w:ascii="Calibri" w:hAnsi="Calibri"/>
                <w:color w:val="000000"/>
                <w:sz w:val="22"/>
                <w:szCs w:val="22"/>
              </w:rPr>
            </w:pPr>
            <w:r>
              <w:rPr>
                <w:rFonts w:ascii="Tahoma" w:hAnsi="Tahoma" w:cs="Tahoma"/>
                <w:color w:val="000000"/>
                <w:sz w:val="18"/>
                <w:szCs w:val="18"/>
              </w:rPr>
              <w:t xml:space="preserve">Il sistema chiude  la ritenuta in corso con la decorrenza indicata da INPS e invia una opportuna comunicazione  all’ufficio del trattamento economico.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000000"/>
                <w:sz w:val="18"/>
                <w:szCs w:val="18"/>
              </w:rPr>
              <w:t> </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538135"/>
                <w:sz w:val="18"/>
                <w:szCs w:val="18"/>
              </w:rPr>
              <w:t>Nella fase transitoria:</w:t>
            </w:r>
          </w:p>
          <w:p w:rsidR="004954C1" w:rsidRDefault="004954C1" w:rsidP="004954C1">
            <w:pPr>
              <w:pStyle w:val="NormaleWeb"/>
              <w:spacing w:before="60" w:beforeAutospacing="0" w:after="60" w:afterAutospacing="0" w:line="256" w:lineRule="auto"/>
              <w:rPr>
                <w:rFonts w:ascii="Calibri" w:hAnsi="Calibri"/>
                <w:color w:val="000000"/>
                <w:sz w:val="22"/>
                <w:szCs w:val="22"/>
              </w:rPr>
            </w:pPr>
            <w:r>
              <w:rPr>
                <w:rFonts w:ascii="Tahoma" w:hAnsi="Tahoma" w:cs="Tahoma"/>
                <w:color w:val="538135"/>
                <w:sz w:val="18"/>
                <w:szCs w:val="18"/>
              </w:rPr>
              <w:t> </w:t>
            </w:r>
          </w:p>
          <w:p w:rsidR="004954C1" w:rsidRDefault="004954C1" w:rsidP="004954C1">
            <w:pPr>
              <w:pStyle w:val="NormaleWeb"/>
              <w:numPr>
                <w:ilvl w:val="0"/>
                <w:numId w:val="24"/>
              </w:numPr>
              <w:spacing w:before="60" w:beforeAutospacing="0" w:after="60" w:afterAutospacing="0" w:line="256" w:lineRule="auto"/>
              <w:jc w:val="both"/>
              <w:rPr>
                <w:rFonts w:ascii="Calibri" w:hAnsi="Calibri"/>
                <w:color w:val="000000"/>
                <w:sz w:val="22"/>
                <w:szCs w:val="22"/>
              </w:rPr>
            </w:pPr>
            <w:r>
              <w:rPr>
                <w:rFonts w:ascii="Tahoma" w:hAnsi="Tahoma" w:cs="Tahoma"/>
                <w:color w:val="538135"/>
                <w:sz w:val="18"/>
                <w:szCs w:val="18"/>
              </w:rPr>
              <w:t xml:space="preserve">il servizio si interfaccerà con i sistemi legacy (SPT e AREAS) fino alla realizzazione del nuovo sistema giuridico ed economico. </w:t>
            </w:r>
          </w:p>
          <w:p w:rsidR="004954C1" w:rsidRDefault="004954C1" w:rsidP="004954C1">
            <w:pPr>
              <w:pStyle w:val="NormaleWeb"/>
              <w:numPr>
                <w:ilvl w:val="0"/>
                <w:numId w:val="24"/>
              </w:numPr>
              <w:spacing w:before="60" w:beforeAutospacing="0" w:after="60" w:afterAutospacing="0" w:line="256" w:lineRule="auto"/>
              <w:jc w:val="both"/>
              <w:rPr>
                <w:color w:val="000000"/>
              </w:rPr>
            </w:pPr>
            <w:r>
              <w:rPr>
                <w:rFonts w:ascii="Tahoma" w:hAnsi="Tahoma" w:cs="Tahoma"/>
                <w:color w:val="538135"/>
                <w:sz w:val="18"/>
                <w:szCs w:val="18"/>
              </w:rPr>
              <w:t xml:space="preserve">Resta fuori dal perimetro  la nuova funzionalità per la gestione dell’Estinzione anticipata del piccolo prestito, considerato che è necessario il  coinvolgimento dell’INPS per  l’implementazione  del nuovo processo con appositi protocolli di comunicazione. </w:t>
            </w:r>
          </w:p>
          <w:permEnd w:id="1875930732"/>
          <w:p w:rsidR="004954C1" w:rsidRPr="004954C1" w:rsidRDefault="004954C1" w:rsidP="004954C1">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4954C1" w:rsidRDefault="004954C1" w:rsidP="004954C1">
            <w:pPr>
              <w:keepLines/>
              <w:jc w:val="both"/>
              <w:rPr>
                <w:rFonts w:ascii="Calibri" w:hAnsi="Calibri" w:cs="Calibri"/>
                <w:lang w:val="it-IT"/>
              </w:rPr>
            </w:pPr>
          </w:p>
        </w:tc>
      </w:tr>
      <w:tr w:rsidR="004954C1" w:rsidRPr="005C18B6" w:rsidTr="004954C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954C1" w:rsidRPr="004954C1" w:rsidRDefault="004954C1" w:rsidP="004954C1">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954C1" w:rsidRPr="00A64A6F" w:rsidRDefault="004954C1" w:rsidP="004954C1">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F5701A" w:rsidRDefault="004954C1" w:rsidP="004954C1">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5C18B6" w:rsidRDefault="004954C1" w:rsidP="004954C1">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60683A" w:rsidRDefault="004954C1" w:rsidP="004954C1">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954C1" w:rsidRPr="0004674F" w:rsidRDefault="004954C1" w:rsidP="004954C1">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954C1" w:rsidRPr="005C18B6" w:rsidRDefault="004954C1" w:rsidP="004954C1">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954C1" w:rsidRPr="005C18B6" w:rsidRDefault="004954C1" w:rsidP="004954C1">
            <w:pPr>
              <w:keepNext/>
              <w:keepLines/>
              <w:jc w:val="both"/>
              <w:rPr>
                <w:rFonts w:ascii="Calibri" w:hAnsi="Calibri" w:cs="Calibri"/>
                <w:szCs w:val="20"/>
              </w:rPr>
            </w:pPr>
          </w:p>
        </w:tc>
      </w:tr>
      <w:tr w:rsidR="004954C1" w:rsidRPr="005C18B6" w:rsidTr="004954C1">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954C1" w:rsidRPr="005C18B6" w:rsidRDefault="004954C1" w:rsidP="004954C1">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954C1" w:rsidRPr="005C18B6" w:rsidRDefault="004954C1" w:rsidP="004954C1">
            <w:pPr>
              <w:keepNext/>
              <w:keepLines/>
              <w:rPr>
                <w:rFonts w:ascii="Calibri" w:hAnsi="Calibri" w:cs="Calibri"/>
                <w:szCs w:val="18"/>
              </w:rPr>
            </w:pPr>
          </w:p>
        </w:tc>
      </w:tr>
      <w:tr w:rsidR="004954C1" w:rsidRPr="005C18B6" w:rsidTr="004954C1">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954C1" w:rsidRPr="00AD37E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954C1" w:rsidRPr="005C18B6"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954C1" w:rsidRPr="00107C08" w:rsidRDefault="004954C1" w:rsidP="004954C1">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954C1" w:rsidRPr="00657300" w:rsidRDefault="004954C1" w:rsidP="004954C1">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954C1" w:rsidRPr="00107C08" w:rsidRDefault="004954C1" w:rsidP="004954C1">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954C1" w:rsidRPr="005C18B6" w:rsidRDefault="004954C1" w:rsidP="004954C1">
            <w:pPr>
              <w:keepNext/>
              <w:keepLines/>
              <w:rPr>
                <w:rFonts w:ascii="Calibri" w:hAnsi="Calibri" w:cs="Calibri"/>
              </w:rPr>
            </w:pPr>
          </w:p>
        </w:tc>
      </w:tr>
      <w:tr w:rsidR="004954C1" w:rsidRPr="005C18B6" w:rsidTr="004954C1">
        <w:trPr>
          <w:trHeight w:val="170"/>
          <w:jc w:val="center"/>
        </w:trPr>
        <w:tc>
          <w:tcPr>
            <w:tcW w:w="47" w:type="dxa"/>
            <w:tcBorders>
              <w:top w:val="nil"/>
              <w:bottom w:val="single" w:sz="4" w:space="0" w:color="auto"/>
              <w:right w:val="nil"/>
            </w:tcBorders>
            <w:tcMar>
              <w:left w:w="0" w:type="dxa"/>
              <w:bottom w:w="57" w:type="dxa"/>
              <w:right w:w="0" w:type="dxa"/>
            </w:tcMar>
          </w:tcPr>
          <w:p w:rsidR="004954C1" w:rsidRPr="005C18B6" w:rsidRDefault="004954C1" w:rsidP="004954C1">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954C1" w:rsidRPr="005C18B6" w:rsidRDefault="004954C1" w:rsidP="004954C1">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954C1" w:rsidRPr="005C18B6" w:rsidRDefault="004954C1" w:rsidP="004954C1">
            <w:pPr>
              <w:keepNext/>
              <w:keepLines/>
              <w:tabs>
                <w:tab w:val="left" w:pos="4536"/>
              </w:tabs>
              <w:rPr>
                <w:rFonts w:ascii="Calibri" w:hAnsi="Calibri" w:cs="Calibri"/>
              </w:rPr>
            </w:pPr>
            <w:r>
              <w:rPr>
                <w:rFonts w:ascii="Calibri" w:hAnsi="Calibri" w:cs="Calibri"/>
              </w:rPr>
              <w:t>58954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954C1" w:rsidRPr="005C18B6" w:rsidRDefault="004954C1" w:rsidP="004954C1">
            <w:pPr>
              <w:keepNext/>
              <w:keepLines/>
              <w:rPr>
                <w:rFonts w:ascii="Calibri" w:hAnsi="Calibri" w:cs="Calibri"/>
              </w:rPr>
            </w:pPr>
          </w:p>
        </w:tc>
      </w:tr>
    </w:tbl>
    <w:p w:rsidR="004954C1" w:rsidRPr="00426C9B" w:rsidRDefault="004954C1" w:rsidP="004954C1">
      <w:pPr>
        <w:spacing w:line="14" w:lineRule="exact"/>
        <w:contextualSpacing/>
        <w:jc w:val="center"/>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426C9B" w:rsidRDefault="004954C1" w:rsidP="004954C1">
      <w:pPr>
        <w:spacing w:line="14" w:lineRule="exact"/>
        <w:contextualSpacing/>
        <w:rPr>
          <w:vanish/>
          <w:sz w:val="2"/>
          <w:szCs w:val="20"/>
        </w:rPr>
      </w:pPr>
    </w:p>
    <w:p w:rsidR="004954C1" w:rsidRPr="005C18B6" w:rsidRDefault="004954C1" w:rsidP="004954C1">
      <w:pPr>
        <w:rPr>
          <w:rFonts w:ascii="Calibri" w:hAnsi="Calibri" w:cs="Calibri"/>
        </w:rPr>
      </w:pPr>
    </w:p>
    <w:p w:rsidR="004954C1" w:rsidRPr="005C18B6" w:rsidRDefault="004954C1" w:rsidP="004954C1">
      <w:pPr>
        <w:rPr>
          <w:rFonts w:ascii="Calibri" w:hAnsi="Calibri" w:cs="Calibri"/>
        </w:rPr>
      </w:pPr>
      <w:permStart w:id="360398932" w:edGrp="everyone"/>
      <w:permEnd w:id="360398932"/>
    </w:p>
    <w:p w:rsidR="00756D1E" w:rsidRPr="00892809" w:rsidRDefault="00756D1E" w:rsidP="00892809">
      <w:bookmarkStart w:id="7" w:name="_GoBack"/>
      <w:bookmarkEnd w:id="7"/>
    </w:p>
    <w:sectPr w:rsidR="00756D1E" w:rsidRPr="00892809" w:rsidSect="001C633D">
      <w:headerReference w:type="default" r:id="rId21"/>
      <w:footerReference w:type="default" r:id="rId2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4C1" w:rsidRPr="0001042E" w:rsidRDefault="004954C1" w:rsidP="001C633D">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4954C1" w:rsidRPr="00810681" w:rsidTr="001C633D">
      <w:tc>
        <w:tcPr>
          <w:tcW w:w="4819" w:type="dxa"/>
          <w:tcBorders>
            <w:top w:val="nil"/>
          </w:tcBorders>
          <w:noWrap/>
          <w:tcMar>
            <w:left w:w="113" w:type="dxa"/>
            <w:right w:w="0" w:type="dxa"/>
          </w:tcMar>
        </w:tcPr>
        <w:p w:rsidR="004954C1" w:rsidRPr="00810681" w:rsidRDefault="004954C1" w:rsidP="001C633D">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4954C1" w:rsidRPr="00860FFD" w:rsidRDefault="004954C1" w:rsidP="001C633D">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755DBB">
            <w:rPr>
              <w:rFonts w:ascii="Tahoma" w:hAnsi="Tahoma" w:cs="Tahoma"/>
              <w:noProof/>
            </w:rPr>
            <w:t>3</w:t>
          </w:r>
          <w:r w:rsidRPr="00860FFD">
            <w:rPr>
              <w:rFonts w:ascii="Tahoma" w:hAnsi="Tahoma" w:cs="Tahoma"/>
            </w:rPr>
            <w:fldChar w:fldCharType="end"/>
          </w:r>
        </w:p>
      </w:tc>
    </w:tr>
  </w:tbl>
  <w:p w:rsidR="004954C1" w:rsidRPr="00860FFD" w:rsidRDefault="004954C1" w:rsidP="001C633D">
    <w:pPr>
      <w:pStyle w:val="Pidipagina"/>
      <w:widowControl w:val="0"/>
      <w:tabs>
        <w:tab w:val="clear" w:pos="4819"/>
        <w:tab w:val="center" w:pos="9356"/>
        <w:tab w:val="left" w:pos="9521"/>
      </w:tabs>
      <w:rPr>
        <w:rFonts w:ascii="Tahoma" w:hAnsi="Tahoma" w:cs="Tahoma"/>
        <w:sz w:val="2"/>
      </w:rPr>
    </w:pPr>
  </w:p>
  <w:p w:rsidR="004954C1" w:rsidRDefault="004954C1" w:rsidP="001C633D">
    <w:pPr>
      <w:pStyle w:val="Pidipagina"/>
      <w:widowControl w:val="0"/>
    </w:pPr>
  </w:p>
  <w:p w:rsidR="004954C1" w:rsidRDefault="004954C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4C1" w:rsidRPr="00803D25" w:rsidRDefault="004954C1" w:rsidP="001C633D">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4954C1" w:rsidRPr="00803D25" w:rsidRDefault="004954C1" w:rsidP="001C633D">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76D98"/>
    <w:multiLevelType w:val="multilevel"/>
    <w:tmpl w:val="43DEE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D32143"/>
    <w:multiLevelType w:val="multilevel"/>
    <w:tmpl w:val="7940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B97296"/>
    <w:multiLevelType w:val="multilevel"/>
    <w:tmpl w:val="5C8AB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1756F48"/>
    <w:multiLevelType w:val="multilevel"/>
    <w:tmpl w:val="FAA2B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40C4294"/>
    <w:multiLevelType w:val="multilevel"/>
    <w:tmpl w:val="EDC2A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498335A"/>
    <w:multiLevelType w:val="multilevel"/>
    <w:tmpl w:val="68DAEE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16D1118A"/>
    <w:multiLevelType w:val="multilevel"/>
    <w:tmpl w:val="14BE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FB93092"/>
    <w:multiLevelType w:val="multilevel"/>
    <w:tmpl w:val="31F84B5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nsid w:val="273971B7"/>
    <w:multiLevelType w:val="multilevel"/>
    <w:tmpl w:val="AA945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D1421C3"/>
    <w:multiLevelType w:val="multilevel"/>
    <w:tmpl w:val="D2ACAA9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nsid w:val="36E36C74"/>
    <w:multiLevelType w:val="multilevel"/>
    <w:tmpl w:val="E418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BCC52B5"/>
    <w:multiLevelType w:val="multilevel"/>
    <w:tmpl w:val="4FB4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2807A56"/>
    <w:multiLevelType w:val="multilevel"/>
    <w:tmpl w:val="F5FA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007613D"/>
    <w:multiLevelType w:val="multilevel"/>
    <w:tmpl w:val="788AC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3302B4F"/>
    <w:multiLevelType w:val="multilevel"/>
    <w:tmpl w:val="7BE0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F22EAD"/>
    <w:multiLevelType w:val="multilevel"/>
    <w:tmpl w:val="AAB67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FAF04E6"/>
    <w:multiLevelType w:val="multilevel"/>
    <w:tmpl w:val="2038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0C5256B"/>
    <w:multiLevelType w:val="multilevel"/>
    <w:tmpl w:val="445AC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3701816"/>
    <w:multiLevelType w:val="multilevel"/>
    <w:tmpl w:val="6F604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9DE3248"/>
    <w:multiLevelType w:val="multilevel"/>
    <w:tmpl w:val="3D4AC4E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nsid w:val="73321677"/>
    <w:multiLevelType w:val="multilevel"/>
    <w:tmpl w:val="18969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6991661"/>
    <w:multiLevelType w:val="multilevel"/>
    <w:tmpl w:val="69485A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8A77DBC"/>
    <w:multiLevelType w:val="multilevel"/>
    <w:tmpl w:val="F84C45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7FA36529"/>
    <w:multiLevelType w:val="multilevel"/>
    <w:tmpl w:val="4EBC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5"/>
  </w:num>
  <w:num w:numId="3">
    <w:abstractNumId w:val="12"/>
  </w:num>
  <w:num w:numId="4">
    <w:abstractNumId w:val="16"/>
  </w:num>
  <w:num w:numId="5">
    <w:abstractNumId w:val="2"/>
  </w:num>
  <w:num w:numId="6">
    <w:abstractNumId w:val="22"/>
  </w:num>
  <w:num w:numId="7">
    <w:abstractNumId w:val="4"/>
  </w:num>
  <w:num w:numId="8">
    <w:abstractNumId w:val="13"/>
  </w:num>
  <w:num w:numId="9">
    <w:abstractNumId w:val="10"/>
  </w:num>
  <w:num w:numId="10">
    <w:abstractNumId w:val="7"/>
  </w:num>
  <w:num w:numId="11">
    <w:abstractNumId w:val="19"/>
  </w:num>
  <w:num w:numId="12">
    <w:abstractNumId w:val="9"/>
  </w:num>
  <w:num w:numId="13">
    <w:abstractNumId w:val="14"/>
  </w:num>
  <w:num w:numId="14">
    <w:abstractNumId w:val="18"/>
  </w:num>
  <w:num w:numId="15">
    <w:abstractNumId w:val="1"/>
  </w:num>
  <w:num w:numId="16">
    <w:abstractNumId w:val="3"/>
  </w:num>
  <w:num w:numId="17">
    <w:abstractNumId w:val="17"/>
  </w:num>
  <w:num w:numId="18">
    <w:abstractNumId w:val="8"/>
  </w:num>
  <w:num w:numId="19">
    <w:abstractNumId w:val="6"/>
  </w:num>
  <w:num w:numId="20">
    <w:abstractNumId w:val="11"/>
  </w:num>
  <w:num w:numId="21">
    <w:abstractNumId w:val="21"/>
  </w:num>
  <w:num w:numId="22">
    <w:abstractNumId w:val="5"/>
  </w:num>
  <w:num w:numId="23">
    <w:abstractNumId w:val="0"/>
  </w:num>
  <w:num w:numId="2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410562"/>
    <w:rsid w:val="001C633D"/>
    <w:rsid w:val="002661A9"/>
    <w:rsid w:val="00410562"/>
    <w:rsid w:val="004954C1"/>
    <w:rsid w:val="00755DBB"/>
    <w:rsid w:val="00756D1E"/>
    <w:rsid w:val="00892809"/>
    <w:rsid w:val="00A50F57"/>
    <w:rsid w:val="00CB7F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80BDB3B-A7FD-4CF7-A9AE-93373F45F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105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41056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10562"/>
  </w:style>
  <w:style w:type="paragraph" w:styleId="Pidipagina">
    <w:name w:val="footer"/>
    <w:basedOn w:val="Normale"/>
    <w:link w:val="PidipaginaCarattere"/>
    <w:uiPriority w:val="99"/>
    <w:unhideWhenUsed/>
    <w:rsid w:val="0041056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10562"/>
  </w:style>
  <w:style w:type="paragraph" w:customStyle="1" w:styleId="TFSWorkitem3">
    <w:name w:val="TFS Workitem 3"/>
    <w:next w:val="Normale"/>
    <w:rsid w:val="00410562"/>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410562"/>
    <w:rPr>
      <w:color w:val="0563C1" w:themeColor="hyperlink"/>
      <w:u w:val="single"/>
    </w:rPr>
  </w:style>
  <w:style w:type="character" w:styleId="Testosegnaposto">
    <w:name w:val="Placeholder Text"/>
    <w:basedOn w:val="Carpredefinitoparagrafo"/>
    <w:uiPriority w:val="99"/>
    <w:semiHidden/>
    <w:rsid w:val="00410562"/>
    <w:rPr>
      <w:color w:val="808080"/>
    </w:rPr>
  </w:style>
  <w:style w:type="paragraph" w:styleId="NormaleWeb">
    <w:name w:val="Normal (Web)"/>
    <w:basedOn w:val="Normale"/>
    <w:uiPriority w:val="99"/>
    <w:semiHidden/>
    <w:unhideWhenUsed/>
    <w:rsid w:val="0041056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410562"/>
    <w:rPr>
      <w:b/>
      <w:bCs/>
    </w:rPr>
  </w:style>
  <w:style w:type="paragraph" w:styleId="Corpodeltesto2">
    <w:name w:val="Body Text 2"/>
    <w:basedOn w:val="Normale"/>
    <w:link w:val="Corpodeltesto2Carattere"/>
    <w:uiPriority w:val="99"/>
    <w:semiHidden/>
    <w:unhideWhenUsed/>
    <w:rsid w:val="0041056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uiPriority w:val="99"/>
    <w:semiHidden/>
    <w:rsid w:val="00410562"/>
    <w:rPr>
      <w:rFonts w:ascii="Times New Roman" w:eastAsia="Times New Roman" w:hAnsi="Times New Roman" w:cs="Times New Roman"/>
      <w:sz w:val="24"/>
      <w:szCs w:val="24"/>
      <w:lang w:eastAsia="it-IT"/>
    </w:rPr>
  </w:style>
  <w:style w:type="character" w:customStyle="1" w:styleId="msodel0">
    <w:name w:val="msodel"/>
    <w:basedOn w:val="Carpredefinitoparagrafo"/>
    <w:rsid w:val="00A50F57"/>
  </w:style>
  <w:style w:type="paragraph" w:styleId="Paragrafoelenco">
    <w:name w:val="List Paragraph"/>
    <w:basedOn w:val="Normale"/>
    <w:uiPriority w:val="34"/>
    <w:qFormat/>
    <w:rsid w:val="004954C1"/>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3808">
      <w:bodyDiv w:val="1"/>
      <w:marLeft w:val="0"/>
      <w:marRight w:val="0"/>
      <w:marTop w:val="0"/>
      <w:marBottom w:val="0"/>
      <w:divBdr>
        <w:top w:val="none" w:sz="0" w:space="0" w:color="auto"/>
        <w:left w:val="none" w:sz="0" w:space="0" w:color="auto"/>
        <w:bottom w:val="none" w:sz="0" w:space="0" w:color="auto"/>
        <w:right w:val="none" w:sz="0" w:space="0" w:color="auto"/>
      </w:divBdr>
    </w:div>
    <w:div w:id="155271220">
      <w:bodyDiv w:val="1"/>
      <w:marLeft w:val="0"/>
      <w:marRight w:val="0"/>
      <w:marTop w:val="0"/>
      <w:marBottom w:val="0"/>
      <w:divBdr>
        <w:top w:val="none" w:sz="0" w:space="0" w:color="auto"/>
        <w:left w:val="none" w:sz="0" w:space="0" w:color="auto"/>
        <w:bottom w:val="none" w:sz="0" w:space="0" w:color="auto"/>
        <w:right w:val="none" w:sz="0" w:space="0" w:color="auto"/>
      </w:divBdr>
    </w:div>
    <w:div w:id="196355206">
      <w:bodyDiv w:val="1"/>
      <w:marLeft w:val="0"/>
      <w:marRight w:val="0"/>
      <w:marTop w:val="0"/>
      <w:marBottom w:val="0"/>
      <w:divBdr>
        <w:top w:val="none" w:sz="0" w:space="0" w:color="auto"/>
        <w:left w:val="none" w:sz="0" w:space="0" w:color="auto"/>
        <w:bottom w:val="none" w:sz="0" w:space="0" w:color="auto"/>
        <w:right w:val="none" w:sz="0" w:space="0" w:color="auto"/>
      </w:divBdr>
    </w:div>
    <w:div w:id="243339298">
      <w:bodyDiv w:val="1"/>
      <w:marLeft w:val="0"/>
      <w:marRight w:val="0"/>
      <w:marTop w:val="0"/>
      <w:marBottom w:val="0"/>
      <w:divBdr>
        <w:top w:val="none" w:sz="0" w:space="0" w:color="auto"/>
        <w:left w:val="none" w:sz="0" w:space="0" w:color="auto"/>
        <w:bottom w:val="none" w:sz="0" w:space="0" w:color="auto"/>
        <w:right w:val="none" w:sz="0" w:space="0" w:color="auto"/>
      </w:divBdr>
    </w:div>
    <w:div w:id="276910354">
      <w:bodyDiv w:val="1"/>
      <w:marLeft w:val="0"/>
      <w:marRight w:val="0"/>
      <w:marTop w:val="0"/>
      <w:marBottom w:val="0"/>
      <w:divBdr>
        <w:top w:val="none" w:sz="0" w:space="0" w:color="auto"/>
        <w:left w:val="none" w:sz="0" w:space="0" w:color="auto"/>
        <w:bottom w:val="none" w:sz="0" w:space="0" w:color="auto"/>
        <w:right w:val="none" w:sz="0" w:space="0" w:color="auto"/>
      </w:divBdr>
    </w:div>
    <w:div w:id="311105388">
      <w:bodyDiv w:val="1"/>
      <w:marLeft w:val="0"/>
      <w:marRight w:val="0"/>
      <w:marTop w:val="0"/>
      <w:marBottom w:val="0"/>
      <w:divBdr>
        <w:top w:val="none" w:sz="0" w:space="0" w:color="auto"/>
        <w:left w:val="none" w:sz="0" w:space="0" w:color="auto"/>
        <w:bottom w:val="none" w:sz="0" w:space="0" w:color="auto"/>
        <w:right w:val="none" w:sz="0" w:space="0" w:color="auto"/>
      </w:divBdr>
    </w:div>
    <w:div w:id="319118176">
      <w:bodyDiv w:val="1"/>
      <w:marLeft w:val="0"/>
      <w:marRight w:val="0"/>
      <w:marTop w:val="0"/>
      <w:marBottom w:val="0"/>
      <w:divBdr>
        <w:top w:val="none" w:sz="0" w:space="0" w:color="auto"/>
        <w:left w:val="none" w:sz="0" w:space="0" w:color="auto"/>
        <w:bottom w:val="none" w:sz="0" w:space="0" w:color="auto"/>
        <w:right w:val="none" w:sz="0" w:space="0" w:color="auto"/>
      </w:divBdr>
    </w:div>
    <w:div w:id="424573913">
      <w:bodyDiv w:val="1"/>
      <w:marLeft w:val="0"/>
      <w:marRight w:val="0"/>
      <w:marTop w:val="0"/>
      <w:marBottom w:val="0"/>
      <w:divBdr>
        <w:top w:val="none" w:sz="0" w:space="0" w:color="auto"/>
        <w:left w:val="none" w:sz="0" w:space="0" w:color="auto"/>
        <w:bottom w:val="none" w:sz="0" w:space="0" w:color="auto"/>
        <w:right w:val="none" w:sz="0" w:space="0" w:color="auto"/>
      </w:divBdr>
      <w:divsChild>
        <w:div w:id="484666269">
          <w:marLeft w:val="0"/>
          <w:marRight w:val="0"/>
          <w:marTop w:val="0"/>
          <w:marBottom w:val="0"/>
          <w:divBdr>
            <w:top w:val="none" w:sz="0" w:space="0" w:color="auto"/>
            <w:left w:val="none" w:sz="0" w:space="0" w:color="auto"/>
            <w:bottom w:val="none" w:sz="0" w:space="0" w:color="auto"/>
            <w:right w:val="none" w:sz="0" w:space="0" w:color="auto"/>
          </w:divBdr>
        </w:div>
        <w:div w:id="2136874620">
          <w:marLeft w:val="0"/>
          <w:marRight w:val="0"/>
          <w:marTop w:val="0"/>
          <w:marBottom w:val="0"/>
          <w:divBdr>
            <w:top w:val="none" w:sz="0" w:space="0" w:color="auto"/>
            <w:left w:val="none" w:sz="0" w:space="0" w:color="auto"/>
            <w:bottom w:val="none" w:sz="0" w:space="0" w:color="auto"/>
            <w:right w:val="none" w:sz="0" w:space="0" w:color="auto"/>
          </w:divBdr>
        </w:div>
      </w:divsChild>
    </w:div>
    <w:div w:id="444690852">
      <w:bodyDiv w:val="1"/>
      <w:marLeft w:val="0"/>
      <w:marRight w:val="0"/>
      <w:marTop w:val="0"/>
      <w:marBottom w:val="0"/>
      <w:divBdr>
        <w:top w:val="none" w:sz="0" w:space="0" w:color="auto"/>
        <w:left w:val="none" w:sz="0" w:space="0" w:color="auto"/>
        <w:bottom w:val="none" w:sz="0" w:space="0" w:color="auto"/>
        <w:right w:val="none" w:sz="0" w:space="0" w:color="auto"/>
      </w:divBdr>
    </w:div>
    <w:div w:id="454757835">
      <w:bodyDiv w:val="1"/>
      <w:marLeft w:val="0"/>
      <w:marRight w:val="0"/>
      <w:marTop w:val="0"/>
      <w:marBottom w:val="0"/>
      <w:divBdr>
        <w:top w:val="none" w:sz="0" w:space="0" w:color="auto"/>
        <w:left w:val="none" w:sz="0" w:space="0" w:color="auto"/>
        <w:bottom w:val="none" w:sz="0" w:space="0" w:color="auto"/>
        <w:right w:val="none" w:sz="0" w:space="0" w:color="auto"/>
      </w:divBdr>
    </w:div>
    <w:div w:id="506944166">
      <w:bodyDiv w:val="1"/>
      <w:marLeft w:val="0"/>
      <w:marRight w:val="0"/>
      <w:marTop w:val="0"/>
      <w:marBottom w:val="0"/>
      <w:divBdr>
        <w:top w:val="none" w:sz="0" w:space="0" w:color="auto"/>
        <w:left w:val="none" w:sz="0" w:space="0" w:color="auto"/>
        <w:bottom w:val="none" w:sz="0" w:space="0" w:color="auto"/>
        <w:right w:val="none" w:sz="0" w:space="0" w:color="auto"/>
      </w:divBdr>
    </w:div>
    <w:div w:id="515273545">
      <w:bodyDiv w:val="1"/>
      <w:marLeft w:val="0"/>
      <w:marRight w:val="0"/>
      <w:marTop w:val="0"/>
      <w:marBottom w:val="0"/>
      <w:divBdr>
        <w:top w:val="none" w:sz="0" w:space="0" w:color="auto"/>
        <w:left w:val="none" w:sz="0" w:space="0" w:color="auto"/>
        <w:bottom w:val="none" w:sz="0" w:space="0" w:color="auto"/>
        <w:right w:val="none" w:sz="0" w:space="0" w:color="auto"/>
      </w:divBdr>
    </w:div>
    <w:div w:id="561870736">
      <w:bodyDiv w:val="1"/>
      <w:marLeft w:val="0"/>
      <w:marRight w:val="0"/>
      <w:marTop w:val="0"/>
      <w:marBottom w:val="0"/>
      <w:divBdr>
        <w:top w:val="none" w:sz="0" w:space="0" w:color="auto"/>
        <w:left w:val="none" w:sz="0" w:space="0" w:color="auto"/>
        <w:bottom w:val="none" w:sz="0" w:space="0" w:color="auto"/>
        <w:right w:val="none" w:sz="0" w:space="0" w:color="auto"/>
      </w:divBdr>
    </w:div>
    <w:div w:id="577133476">
      <w:bodyDiv w:val="1"/>
      <w:marLeft w:val="0"/>
      <w:marRight w:val="0"/>
      <w:marTop w:val="0"/>
      <w:marBottom w:val="0"/>
      <w:divBdr>
        <w:top w:val="none" w:sz="0" w:space="0" w:color="auto"/>
        <w:left w:val="none" w:sz="0" w:space="0" w:color="auto"/>
        <w:bottom w:val="none" w:sz="0" w:space="0" w:color="auto"/>
        <w:right w:val="none" w:sz="0" w:space="0" w:color="auto"/>
      </w:divBdr>
    </w:div>
    <w:div w:id="577204941">
      <w:bodyDiv w:val="1"/>
      <w:marLeft w:val="0"/>
      <w:marRight w:val="0"/>
      <w:marTop w:val="0"/>
      <w:marBottom w:val="0"/>
      <w:divBdr>
        <w:top w:val="none" w:sz="0" w:space="0" w:color="auto"/>
        <w:left w:val="none" w:sz="0" w:space="0" w:color="auto"/>
        <w:bottom w:val="none" w:sz="0" w:space="0" w:color="auto"/>
        <w:right w:val="none" w:sz="0" w:space="0" w:color="auto"/>
      </w:divBdr>
    </w:div>
    <w:div w:id="596863224">
      <w:bodyDiv w:val="1"/>
      <w:marLeft w:val="0"/>
      <w:marRight w:val="0"/>
      <w:marTop w:val="0"/>
      <w:marBottom w:val="0"/>
      <w:divBdr>
        <w:top w:val="none" w:sz="0" w:space="0" w:color="auto"/>
        <w:left w:val="none" w:sz="0" w:space="0" w:color="auto"/>
        <w:bottom w:val="none" w:sz="0" w:space="0" w:color="auto"/>
        <w:right w:val="none" w:sz="0" w:space="0" w:color="auto"/>
      </w:divBdr>
    </w:div>
    <w:div w:id="611715674">
      <w:bodyDiv w:val="1"/>
      <w:marLeft w:val="0"/>
      <w:marRight w:val="0"/>
      <w:marTop w:val="0"/>
      <w:marBottom w:val="0"/>
      <w:divBdr>
        <w:top w:val="none" w:sz="0" w:space="0" w:color="auto"/>
        <w:left w:val="none" w:sz="0" w:space="0" w:color="auto"/>
        <w:bottom w:val="none" w:sz="0" w:space="0" w:color="auto"/>
        <w:right w:val="none" w:sz="0" w:space="0" w:color="auto"/>
      </w:divBdr>
    </w:div>
    <w:div w:id="675227257">
      <w:bodyDiv w:val="1"/>
      <w:marLeft w:val="0"/>
      <w:marRight w:val="0"/>
      <w:marTop w:val="0"/>
      <w:marBottom w:val="0"/>
      <w:divBdr>
        <w:top w:val="none" w:sz="0" w:space="0" w:color="auto"/>
        <w:left w:val="none" w:sz="0" w:space="0" w:color="auto"/>
        <w:bottom w:val="none" w:sz="0" w:space="0" w:color="auto"/>
        <w:right w:val="none" w:sz="0" w:space="0" w:color="auto"/>
      </w:divBdr>
    </w:div>
    <w:div w:id="714622884">
      <w:bodyDiv w:val="1"/>
      <w:marLeft w:val="0"/>
      <w:marRight w:val="0"/>
      <w:marTop w:val="0"/>
      <w:marBottom w:val="0"/>
      <w:divBdr>
        <w:top w:val="none" w:sz="0" w:space="0" w:color="auto"/>
        <w:left w:val="none" w:sz="0" w:space="0" w:color="auto"/>
        <w:bottom w:val="none" w:sz="0" w:space="0" w:color="auto"/>
        <w:right w:val="none" w:sz="0" w:space="0" w:color="auto"/>
      </w:divBdr>
    </w:div>
    <w:div w:id="717438426">
      <w:bodyDiv w:val="1"/>
      <w:marLeft w:val="0"/>
      <w:marRight w:val="0"/>
      <w:marTop w:val="0"/>
      <w:marBottom w:val="0"/>
      <w:divBdr>
        <w:top w:val="none" w:sz="0" w:space="0" w:color="auto"/>
        <w:left w:val="none" w:sz="0" w:space="0" w:color="auto"/>
        <w:bottom w:val="none" w:sz="0" w:space="0" w:color="auto"/>
        <w:right w:val="none" w:sz="0" w:space="0" w:color="auto"/>
      </w:divBdr>
    </w:div>
    <w:div w:id="721707665">
      <w:bodyDiv w:val="1"/>
      <w:marLeft w:val="0"/>
      <w:marRight w:val="0"/>
      <w:marTop w:val="0"/>
      <w:marBottom w:val="0"/>
      <w:divBdr>
        <w:top w:val="none" w:sz="0" w:space="0" w:color="auto"/>
        <w:left w:val="none" w:sz="0" w:space="0" w:color="auto"/>
        <w:bottom w:val="none" w:sz="0" w:space="0" w:color="auto"/>
        <w:right w:val="none" w:sz="0" w:space="0" w:color="auto"/>
      </w:divBdr>
    </w:div>
    <w:div w:id="788087251">
      <w:bodyDiv w:val="1"/>
      <w:marLeft w:val="0"/>
      <w:marRight w:val="0"/>
      <w:marTop w:val="0"/>
      <w:marBottom w:val="0"/>
      <w:divBdr>
        <w:top w:val="none" w:sz="0" w:space="0" w:color="auto"/>
        <w:left w:val="none" w:sz="0" w:space="0" w:color="auto"/>
        <w:bottom w:val="none" w:sz="0" w:space="0" w:color="auto"/>
        <w:right w:val="none" w:sz="0" w:space="0" w:color="auto"/>
      </w:divBdr>
    </w:div>
    <w:div w:id="806050818">
      <w:bodyDiv w:val="1"/>
      <w:marLeft w:val="0"/>
      <w:marRight w:val="0"/>
      <w:marTop w:val="0"/>
      <w:marBottom w:val="0"/>
      <w:divBdr>
        <w:top w:val="none" w:sz="0" w:space="0" w:color="auto"/>
        <w:left w:val="none" w:sz="0" w:space="0" w:color="auto"/>
        <w:bottom w:val="none" w:sz="0" w:space="0" w:color="auto"/>
        <w:right w:val="none" w:sz="0" w:space="0" w:color="auto"/>
      </w:divBdr>
      <w:divsChild>
        <w:div w:id="404299357">
          <w:marLeft w:val="0"/>
          <w:marRight w:val="0"/>
          <w:marTop w:val="0"/>
          <w:marBottom w:val="160"/>
          <w:divBdr>
            <w:top w:val="none" w:sz="0" w:space="0" w:color="auto"/>
            <w:left w:val="none" w:sz="0" w:space="0" w:color="auto"/>
            <w:bottom w:val="none" w:sz="0" w:space="0" w:color="auto"/>
            <w:right w:val="none" w:sz="0" w:space="0" w:color="auto"/>
          </w:divBdr>
          <w:divsChild>
            <w:div w:id="1274047982">
              <w:marLeft w:val="0"/>
              <w:marRight w:val="0"/>
              <w:marTop w:val="0"/>
              <w:marBottom w:val="160"/>
              <w:divBdr>
                <w:top w:val="none" w:sz="0" w:space="0" w:color="auto"/>
                <w:left w:val="none" w:sz="0" w:space="0" w:color="auto"/>
                <w:bottom w:val="none" w:sz="0" w:space="0" w:color="auto"/>
                <w:right w:val="none" w:sz="0" w:space="0" w:color="auto"/>
              </w:divBdr>
            </w:div>
            <w:div w:id="437335565">
              <w:marLeft w:val="0"/>
              <w:marRight w:val="0"/>
              <w:marTop w:val="0"/>
              <w:marBottom w:val="160"/>
              <w:divBdr>
                <w:top w:val="none" w:sz="0" w:space="0" w:color="auto"/>
                <w:left w:val="none" w:sz="0" w:space="0" w:color="auto"/>
                <w:bottom w:val="none" w:sz="0" w:space="0" w:color="auto"/>
                <w:right w:val="none" w:sz="0" w:space="0" w:color="auto"/>
              </w:divBdr>
            </w:div>
            <w:div w:id="1377050126">
              <w:marLeft w:val="0"/>
              <w:marRight w:val="0"/>
              <w:marTop w:val="0"/>
              <w:marBottom w:val="160"/>
              <w:divBdr>
                <w:top w:val="none" w:sz="0" w:space="0" w:color="auto"/>
                <w:left w:val="none" w:sz="0" w:space="0" w:color="auto"/>
                <w:bottom w:val="none" w:sz="0" w:space="0" w:color="auto"/>
                <w:right w:val="none" w:sz="0" w:space="0" w:color="auto"/>
              </w:divBdr>
              <w:divsChild>
                <w:div w:id="1408457516">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824315839">
      <w:bodyDiv w:val="1"/>
      <w:marLeft w:val="0"/>
      <w:marRight w:val="0"/>
      <w:marTop w:val="0"/>
      <w:marBottom w:val="0"/>
      <w:divBdr>
        <w:top w:val="none" w:sz="0" w:space="0" w:color="auto"/>
        <w:left w:val="none" w:sz="0" w:space="0" w:color="auto"/>
        <w:bottom w:val="none" w:sz="0" w:space="0" w:color="auto"/>
        <w:right w:val="none" w:sz="0" w:space="0" w:color="auto"/>
      </w:divBdr>
    </w:div>
    <w:div w:id="838152826">
      <w:bodyDiv w:val="1"/>
      <w:marLeft w:val="0"/>
      <w:marRight w:val="0"/>
      <w:marTop w:val="0"/>
      <w:marBottom w:val="0"/>
      <w:divBdr>
        <w:top w:val="none" w:sz="0" w:space="0" w:color="auto"/>
        <w:left w:val="none" w:sz="0" w:space="0" w:color="auto"/>
        <w:bottom w:val="none" w:sz="0" w:space="0" w:color="auto"/>
        <w:right w:val="none" w:sz="0" w:space="0" w:color="auto"/>
      </w:divBdr>
    </w:div>
    <w:div w:id="929436373">
      <w:bodyDiv w:val="1"/>
      <w:marLeft w:val="0"/>
      <w:marRight w:val="0"/>
      <w:marTop w:val="0"/>
      <w:marBottom w:val="0"/>
      <w:divBdr>
        <w:top w:val="none" w:sz="0" w:space="0" w:color="auto"/>
        <w:left w:val="none" w:sz="0" w:space="0" w:color="auto"/>
        <w:bottom w:val="none" w:sz="0" w:space="0" w:color="auto"/>
        <w:right w:val="none" w:sz="0" w:space="0" w:color="auto"/>
      </w:divBdr>
    </w:div>
    <w:div w:id="936137419">
      <w:bodyDiv w:val="1"/>
      <w:marLeft w:val="0"/>
      <w:marRight w:val="0"/>
      <w:marTop w:val="0"/>
      <w:marBottom w:val="0"/>
      <w:divBdr>
        <w:top w:val="none" w:sz="0" w:space="0" w:color="auto"/>
        <w:left w:val="none" w:sz="0" w:space="0" w:color="auto"/>
        <w:bottom w:val="none" w:sz="0" w:space="0" w:color="auto"/>
        <w:right w:val="none" w:sz="0" w:space="0" w:color="auto"/>
      </w:divBdr>
    </w:div>
    <w:div w:id="937252185">
      <w:bodyDiv w:val="1"/>
      <w:marLeft w:val="0"/>
      <w:marRight w:val="0"/>
      <w:marTop w:val="0"/>
      <w:marBottom w:val="0"/>
      <w:divBdr>
        <w:top w:val="none" w:sz="0" w:space="0" w:color="auto"/>
        <w:left w:val="none" w:sz="0" w:space="0" w:color="auto"/>
        <w:bottom w:val="none" w:sz="0" w:space="0" w:color="auto"/>
        <w:right w:val="none" w:sz="0" w:space="0" w:color="auto"/>
      </w:divBdr>
    </w:div>
    <w:div w:id="971130814">
      <w:bodyDiv w:val="1"/>
      <w:marLeft w:val="0"/>
      <w:marRight w:val="0"/>
      <w:marTop w:val="0"/>
      <w:marBottom w:val="0"/>
      <w:divBdr>
        <w:top w:val="none" w:sz="0" w:space="0" w:color="auto"/>
        <w:left w:val="none" w:sz="0" w:space="0" w:color="auto"/>
        <w:bottom w:val="none" w:sz="0" w:space="0" w:color="auto"/>
        <w:right w:val="none" w:sz="0" w:space="0" w:color="auto"/>
      </w:divBdr>
      <w:divsChild>
        <w:div w:id="144272172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82079217">
      <w:bodyDiv w:val="1"/>
      <w:marLeft w:val="0"/>
      <w:marRight w:val="0"/>
      <w:marTop w:val="0"/>
      <w:marBottom w:val="0"/>
      <w:divBdr>
        <w:top w:val="none" w:sz="0" w:space="0" w:color="auto"/>
        <w:left w:val="none" w:sz="0" w:space="0" w:color="auto"/>
        <w:bottom w:val="none" w:sz="0" w:space="0" w:color="auto"/>
        <w:right w:val="none" w:sz="0" w:space="0" w:color="auto"/>
      </w:divBdr>
    </w:div>
    <w:div w:id="987396376">
      <w:bodyDiv w:val="1"/>
      <w:marLeft w:val="0"/>
      <w:marRight w:val="0"/>
      <w:marTop w:val="0"/>
      <w:marBottom w:val="0"/>
      <w:divBdr>
        <w:top w:val="none" w:sz="0" w:space="0" w:color="auto"/>
        <w:left w:val="none" w:sz="0" w:space="0" w:color="auto"/>
        <w:bottom w:val="none" w:sz="0" w:space="0" w:color="auto"/>
        <w:right w:val="none" w:sz="0" w:space="0" w:color="auto"/>
      </w:divBdr>
    </w:div>
    <w:div w:id="1183205688">
      <w:bodyDiv w:val="1"/>
      <w:marLeft w:val="0"/>
      <w:marRight w:val="0"/>
      <w:marTop w:val="0"/>
      <w:marBottom w:val="0"/>
      <w:divBdr>
        <w:top w:val="none" w:sz="0" w:space="0" w:color="auto"/>
        <w:left w:val="none" w:sz="0" w:space="0" w:color="auto"/>
        <w:bottom w:val="none" w:sz="0" w:space="0" w:color="auto"/>
        <w:right w:val="none" w:sz="0" w:space="0" w:color="auto"/>
      </w:divBdr>
    </w:div>
    <w:div w:id="1199783886">
      <w:bodyDiv w:val="1"/>
      <w:marLeft w:val="0"/>
      <w:marRight w:val="0"/>
      <w:marTop w:val="0"/>
      <w:marBottom w:val="0"/>
      <w:divBdr>
        <w:top w:val="none" w:sz="0" w:space="0" w:color="auto"/>
        <w:left w:val="none" w:sz="0" w:space="0" w:color="auto"/>
        <w:bottom w:val="none" w:sz="0" w:space="0" w:color="auto"/>
        <w:right w:val="none" w:sz="0" w:space="0" w:color="auto"/>
      </w:divBdr>
    </w:div>
    <w:div w:id="1212963086">
      <w:bodyDiv w:val="1"/>
      <w:marLeft w:val="0"/>
      <w:marRight w:val="0"/>
      <w:marTop w:val="0"/>
      <w:marBottom w:val="0"/>
      <w:divBdr>
        <w:top w:val="none" w:sz="0" w:space="0" w:color="auto"/>
        <w:left w:val="none" w:sz="0" w:space="0" w:color="auto"/>
        <w:bottom w:val="none" w:sz="0" w:space="0" w:color="auto"/>
        <w:right w:val="none" w:sz="0" w:space="0" w:color="auto"/>
      </w:divBdr>
    </w:div>
    <w:div w:id="1234000864">
      <w:bodyDiv w:val="1"/>
      <w:marLeft w:val="0"/>
      <w:marRight w:val="0"/>
      <w:marTop w:val="0"/>
      <w:marBottom w:val="0"/>
      <w:divBdr>
        <w:top w:val="none" w:sz="0" w:space="0" w:color="auto"/>
        <w:left w:val="none" w:sz="0" w:space="0" w:color="auto"/>
        <w:bottom w:val="none" w:sz="0" w:space="0" w:color="auto"/>
        <w:right w:val="none" w:sz="0" w:space="0" w:color="auto"/>
      </w:divBdr>
    </w:div>
    <w:div w:id="1237126832">
      <w:bodyDiv w:val="1"/>
      <w:marLeft w:val="0"/>
      <w:marRight w:val="0"/>
      <w:marTop w:val="0"/>
      <w:marBottom w:val="0"/>
      <w:divBdr>
        <w:top w:val="none" w:sz="0" w:space="0" w:color="auto"/>
        <w:left w:val="none" w:sz="0" w:space="0" w:color="auto"/>
        <w:bottom w:val="none" w:sz="0" w:space="0" w:color="auto"/>
        <w:right w:val="none" w:sz="0" w:space="0" w:color="auto"/>
      </w:divBdr>
    </w:div>
    <w:div w:id="1314481353">
      <w:bodyDiv w:val="1"/>
      <w:marLeft w:val="0"/>
      <w:marRight w:val="0"/>
      <w:marTop w:val="0"/>
      <w:marBottom w:val="0"/>
      <w:divBdr>
        <w:top w:val="none" w:sz="0" w:space="0" w:color="auto"/>
        <w:left w:val="none" w:sz="0" w:space="0" w:color="auto"/>
        <w:bottom w:val="none" w:sz="0" w:space="0" w:color="auto"/>
        <w:right w:val="none" w:sz="0" w:space="0" w:color="auto"/>
      </w:divBdr>
    </w:div>
    <w:div w:id="1322198330">
      <w:bodyDiv w:val="1"/>
      <w:marLeft w:val="0"/>
      <w:marRight w:val="0"/>
      <w:marTop w:val="0"/>
      <w:marBottom w:val="0"/>
      <w:divBdr>
        <w:top w:val="none" w:sz="0" w:space="0" w:color="auto"/>
        <w:left w:val="none" w:sz="0" w:space="0" w:color="auto"/>
        <w:bottom w:val="none" w:sz="0" w:space="0" w:color="auto"/>
        <w:right w:val="none" w:sz="0" w:space="0" w:color="auto"/>
      </w:divBdr>
    </w:div>
    <w:div w:id="1323193443">
      <w:bodyDiv w:val="1"/>
      <w:marLeft w:val="0"/>
      <w:marRight w:val="0"/>
      <w:marTop w:val="0"/>
      <w:marBottom w:val="0"/>
      <w:divBdr>
        <w:top w:val="none" w:sz="0" w:space="0" w:color="auto"/>
        <w:left w:val="none" w:sz="0" w:space="0" w:color="auto"/>
        <w:bottom w:val="none" w:sz="0" w:space="0" w:color="auto"/>
        <w:right w:val="none" w:sz="0" w:space="0" w:color="auto"/>
      </w:divBdr>
    </w:div>
    <w:div w:id="1352682471">
      <w:bodyDiv w:val="1"/>
      <w:marLeft w:val="0"/>
      <w:marRight w:val="0"/>
      <w:marTop w:val="0"/>
      <w:marBottom w:val="0"/>
      <w:divBdr>
        <w:top w:val="none" w:sz="0" w:space="0" w:color="auto"/>
        <w:left w:val="none" w:sz="0" w:space="0" w:color="auto"/>
        <w:bottom w:val="none" w:sz="0" w:space="0" w:color="auto"/>
        <w:right w:val="none" w:sz="0" w:space="0" w:color="auto"/>
      </w:divBdr>
    </w:div>
    <w:div w:id="1403407013">
      <w:bodyDiv w:val="1"/>
      <w:marLeft w:val="0"/>
      <w:marRight w:val="0"/>
      <w:marTop w:val="0"/>
      <w:marBottom w:val="0"/>
      <w:divBdr>
        <w:top w:val="none" w:sz="0" w:space="0" w:color="auto"/>
        <w:left w:val="none" w:sz="0" w:space="0" w:color="auto"/>
        <w:bottom w:val="none" w:sz="0" w:space="0" w:color="auto"/>
        <w:right w:val="none" w:sz="0" w:space="0" w:color="auto"/>
      </w:divBdr>
    </w:div>
    <w:div w:id="1437629416">
      <w:bodyDiv w:val="1"/>
      <w:marLeft w:val="0"/>
      <w:marRight w:val="0"/>
      <w:marTop w:val="0"/>
      <w:marBottom w:val="0"/>
      <w:divBdr>
        <w:top w:val="none" w:sz="0" w:space="0" w:color="auto"/>
        <w:left w:val="none" w:sz="0" w:space="0" w:color="auto"/>
        <w:bottom w:val="none" w:sz="0" w:space="0" w:color="auto"/>
        <w:right w:val="none" w:sz="0" w:space="0" w:color="auto"/>
      </w:divBdr>
    </w:div>
    <w:div w:id="1452623735">
      <w:bodyDiv w:val="1"/>
      <w:marLeft w:val="0"/>
      <w:marRight w:val="0"/>
      <w:marTop w:val="0"/>
      <w:marBottom w:val="0"/>
      <w:divBdr>
        <w:top w:val="none" w:sz="0" w:space="0" w:color="auto"/>
        <w:left w:val="none" w:sz="0" w:space="0" w:color="auto"/>
        <w:bottom w:val="none" w:sz="0" w:space="0" w:color="auto"/>
        <w:right w:val="none" w:sz="0" w:space="0" w:color="auto"/>
      </w:divBdr>
      <w:divsChild>
        <w:div w:id="135122674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481312463">
      <w:bodyDiv w:val="1"/>
      <w:marLeft w:val="0"/>
      <w:marRight w:val="0"/>
      <w:marTop w:val="0"/>
      <w:marBottom w:val="0"/>
      <w:divBdr>
        <w:top w:val="none" w:sz="0" w:space="0" w:color="auto"/>
        <w:left w:val="none" w:sz="0" w:space="0" w:color="auto"/>
        <w:bottom w:val="none" w:sz="0" w:space="0" w:color="auto"/>
        <w:right w:val="none" w:sz="0" w:space="0" w:color="auto"/>
      </w:divBdr>
    </w:div>
    <w:div w:id="1596594901">
      <w:bodyDiv w:val="1"/>
      <w:marLeft w:val="0"/>
      <w:marRight w:val="0"/>
      <w:marTop w:val="0"/>
      <w:marBottom w:val="0"/>
      <w:divBdr>
        <w:top w:val="none" w:sz="0" w:space="0" w:color="auto"/>
        <w:left w:val="none" w:sz="0" w:space="0" w:color="auto"/>
        <w:bottom w:val="none" w:sz="0" w:space="0" w:color="auto"/>
        <w:right w:val="none" w:sz="0" w:space="0" w:color="auto"/>
      </w:divBdr>
    </w:div>
    <w:div w:id="1602299226">
      <w:bodyDiv w:val="1"/>
      <w:marLeft w:val="0"/>
      <w:marRight w:val="0"/>
      <w:marTop w:val="0"/>
      <w:marBottom w:val="0"/>
      <w:divBdr>
        <w:top w:val="none" w:sz="0" w:space="0" w:color="auto"/>
        <w:left w:val="none" w:sz="0" w:space="0" w:color="auto"/>
        <w:bottom w:val="none" w:sz="0" w:space="0" w:color="auto"/>
        <w:right w:val="none" w:sz="0" w:space="0" w:color="auto"/>
      </w:divBdr>
      <w:divsChild>
        <w:div w:id="1040587872">
          <w:marLeft w:val="0"/>
          <w:marRight w:val="0"/>
          <w:marTop w:val="0"/>
          <w:marBottom w:val="0"/>
          <w:divBdr>
            <w:top w:val="none" w:sz="0" w:space="0" w:color="auto"/>
            <w:left w:val="none" w:sz="0" w:space="0" w:color="auto"/>
            <w:bottom w:val="none" w:sz="0" w:space="0" w:color="auto"/>
            <w:right w:val="none" w:sz="0" w:space="0" w:color="auto"/>
          </w:divBdr>
        </w:div>
        <w:div w:id="434523848">
          <w:marLeft w:val="0"/>
          <w:marRight w:val="0"/>
          <w:marTop w:val="0"/>
          <w:marBottom w:val="0"/>
          <w:divBdr>
            <w:top w:val="none" w:sz="0" w:space="0" w:color="auto"/>
            <w:left w:val="none" w:sz="0" w:space="0" w:color="auto"/>
            <w:bottom w:val="none" w:sz="0" w:space="0" w:color="auto"/>
            <w:right w:val="none" w:sz="0" w:space="0" w:color="auto"/>
          </w:divBdr>
        </w:div>
      </w:divsChild>
    </w:div>
    <w:div w:id="1673416302">
      <w:bodyDiv w:val="1"/>
      <w:marLeft w:val="0"/>
      <w:marRight w:val="0"/>
      <w:marTop w:val="0"/>
      <w:marBottom w:val="0"/>
      <w:divBdr>
        <w:top w:val="none" w:sz="0" w:space="0" w:color="auto"/>
        <w:left w:val="none" w:sz="0" w:space="0" w:color="auto"/>
        <w:bottom w:val="none" w:sz="0" w:space="0" w:color="auto"/>
        <w:right w:val="none" w:sz="0" w:space="0" w:color="auto"/>
      </w:divBdr>
    </w:div>
    <w:div w:id="1707756713">
      <w:bodyDiv w:val="1"/>
      <w:marLeft w:val="0"/>
      <w:marRight w:val="0"/>
      <w:marTop w:val="0"/>
      <w:marBottom w:val="0"/>
      <w:divBdr>
        <w:top w:val="none" w:sz="0" w:space="0" w:color="auto"/>
        <w:left w:val="none" w:sz="0" w:space="0" w:color="auto"/>
        <w:bottom w:val="none" w:sz="0" w:space="0" w:color="auto"/>
        <w:right w:val="none" w:sz="0" w:space="0" w:color="auto"/>
      </w:divBdr>
    </w:div>
    <w:div w:id="1710303949">
      <w:bodyDiv w:val="1"/>
      <w:marLeft w:val="0"/>
      <w:marRight w:val="0"/>
      <w:marTop w:val="0"/>
      <w:marBottom w:val="0"/>
      <w:divBdr>
        <w:top w:val="none" w:sz="0" w:space="0" w:color="auto"/>
        <w:left w:val="none" w:sz="0" w:space="0" w:color="auto"/>
        <w:bottom w:val="none" w:sz="0" w:space="0" w:color="auto"/>
        <w:right w:val="none" w:sz="0" w:space="0" w:color="auto"/>
      </w:divBdr>
    </w:div>
    <w:div w:id="1782146144">
      <w:bodyDiv w:val="1"/>
      <w:marLeft w:val="0"/>
      <w:marRight w:val="0"/>
      <w:marTop w:val="0"/>
      <w:marBottom w:val="0"/>
      <w:divBdr>
        <w:top w:val="none" w:sz="0" w:space="0" w:color="auto"/>
        <w:left w:val="none" w:sz="0" w:space="0" w:color="auto"/>
        <w:bottom w:val="none" w:sz="0" w:space="0" w:color="auto"/>
        <w:right w:val="none" w:sz="0" w:space="0" w:color="auto"/>
      </w:divBdr>
      <w:divsChild>
        <w:div w:id="201734578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75196595">
      <w:bodyDiv w:val="1"/>
      <w:marLeft w:val="0"/>
      <w:marRight w:val="0"/>
      <w:marTop w:val="0"/>
      <w:marBottom w:val="0"/>
      <w:divBdr>
        <w:top w:val="none" w:sz="0" w:space="0" w:color="auto"/>
        <w:left w:val="none" w:sz="0" w:space="0" w:color="auto"/>
        <w:bottom w:val="none" w:sz="0" w:space="0" w:color="auto"/>
        <w:right w:val="none" w:sz="0" w:space="0" w:color="auto"/>
      </w:divBdr>
      <w:divsChild>
        <w:div w:id="72386904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75267598">
      <w:bodyDiv w:val="1"/>
      <w:marLeft w:val="0"/>
      <w:marRight w:val="0"/>
      <w:marTop w:val="0"/>
      <w:marBottom w:val="0"/>
      <w:divBdr>
        <w:top w:val="none" w:sz="0" w:space="0" w:color="auto"/>
        <w:left w:val="none" w:sz="0" w:space="0" w:color="auto"/>
        <w:bottom w:val="none" w:sz="0" w:space="0" w:color="auto"/>
        <w:right w:val="none" w:sz="0" w:space="0" w:color="auto"/>
      </w:divBdr>
      <w:divsChild>
        <w:div w:id="87048990">
          <w:marLeft w:val="0"/>
          <w:marRight w:val="0"/>
          <w:marTop w:val="60"/>
          <w:marBottom w:val="160"/>
          <w:divBdr>
            <w:top w:val="none" w:sz="0" w:space="0" w:color="auto"/>
            <w:left w:val="none" w:sz="0" w:space="0" w:color="auto"/>
            <w:bottom w:val="none" w:sz="0" w:space="0" w:color="auto"/>
            <w:right w:val="none" w:sz="0" w:space="0" w:color="auto"/>
          </w:divBdr>
        </w:div>
        <w:div w:id="1990162126">
          <w:marLeft w:val="0"/>
          <w:marRight w:val="0"/>
          <w:marTop w:val="60"/>
          <w:marBottom w:val="160"/>
          <w:divBdr>
            <w:top w:val="none" w:sz="0" w:space="0" w:color="auto"/>
            <w:left w:val="none" w:sz="0" w:space="0" w:color="auto"/>
            <w:bottom w:val="none" w:sz="0" w:space="0" w:color="auto"/>
            <w:right w:val="none" w:sz="0" w:space="0" w:color="auto"/>
          </w:divBdr>
        </w:div>
      </w:divsChild>
    </w:div>
    <w:div w:id="1888292418">
      <w:bodyDiv w:val="1"/>
      <w:marLeft w:val="0"/>
      <w:marRight w:val="0"/>
      <w:marTop w:val="0"/>
      <w:marBottom w:val="0"/>
      <w:divBdr>
        <w:top w:val="none" w:sz="0" w:space="0" w:color="auto"/>
        <w:left w:val="none" w:sz="0" w:space="0" w:color="auto"/>
        <w:bottom w:val="none" w:sz="0" w:space="0" w:color="auto"/>
        <w:right w:val="none" w:sz="0" w:space="0" w:color="auto"/>
      </w:divBdr>
    </w:div>
    <w:div w:id="1900743971">
      <w:bodyDiv w:val="1"/>
      <w:marLeft w:val="0"/>
      <w:marRight w:val="0"/>
      <w:marTop w:val="0"/>
      <w:marBottom w:val="0"/>
      <w:divBdr>
        <w:top w:val="none" w:sz="0" w:space="0" w:color="auto"/>
        <w:left w:val="none" w:sz="0" w:space="0" w:color="auto"/>
        <w:bottom w:val="none" w:sz="0" w:space="0" w:color="auto"/>
        <w:right w:val="none" w:sz="0" w:space="0" w:color="auto"/>
      </w:divBdr>
    </w:div>
    <w:div w:id="1916280551">
      <w:bodyDiv w:val="1"/>
      <w:marLeft w:val="0"/>
      <w:marRight w:val="0"/>
      <w:marTop w:val="0"/>
      <w:marBottom w:val="0"/>
      <w:divBdr>
        <w:top w:val="none" w:sz="0" w:space="0" w:color="auto"/>
        <w:left w:val="none" w:sz="0" w:space="0" w:color="auto"/>
        <w:bottom w:val="none" w:sz="0" w:space="0" w:color="auto"/>
        <w:right w:val="none" w:sz="0" w:space="0" w:color="auto"/>
      </w:divBdr>
    </w:div>
    <w:div w:id="1919366165">
      <w:bodyDiv w:val="1"/>
      <w:marLeft w:val="0"/>
      <w:marRight w:val="0"/>
      <w:marTop w:val="0"/>
      <w:marBottom w:val="0"/>
      <w:divBdr>
        <w:top w:val="none" w:sz="0" w:space="0" w:color="auto"/>
        <w:left w:val="none" w:sz="0" w:space="0" w:color="auto"/>
        <w:bottom w:val="none" w:sz="0" w:space="0" w:color="auto"/>
        <w:right w:val="none" w:sz="0" w:space="0" w:color="auto"/>
      </w:divBdr>
    </w:div>
    <w:div w:id="1921595285">
      <w:bodyDiv w:val="1"/>
      <w:marLeft w:val="0"/>
      <w:marRight w:val="0"/>
      <w:marTop w:val="0"/>
      <w:marBottom w:val="0"/>
      <w:divBdr>
        <w:top w:val="none" w:sz="0" w:space="0" w:color="auto"/>
        <w:left w:val="none" w:sz="0" w:space="0" w:color="auto"/>
        <w:bottom w:val="none" w:sz="0" w:space="0" w:color="auto"/>
        <w:right w:val="none" w:sz="0" w:space="0" w:color="auto"/>
      </w:divBdr>
    </w:div>
    <w:div w:id="2080977145">
      <w:bodyDiv w:val="1"/>
      <w:marLeft w:val="0"/>
      <w:marRight w:val="0"/>
      <w:marTop w:val="0"/>
      <w:marBottom w:val="0"/>
      <w:divBdr>
        <w:top w:val="none" w:sz="0" w:space="0" w:color="auto"/>
        <w:left w:val="none" w:sz="0" w:space="0" w:color="auto"/>
        <w:bottom w:val="none" w:sz="0" w:space="0" w:color="auto"/>
        <w:right w:val="none" w:sz="0" w:space="0" w:color="auto"/>
      </w:divBdr>
    </w:div>
    <w:div w:id="2102213909">
      <w:bodyDiv w:val="1"/>
      <w:marLeft w:val="0"/>
      <w:marRight w:val="0"/>
      <w:marTop w:val="0"/>
      <w:marBottom w:val="0"/>
      <w:divBdr>
        <w:top w:val="none" w:sz="0" w:space="0" w:color="auto"/>
        <w:left w:val="none" w:sz="0" w:space="0" w:color="auto"/>
        <w:bottom w:val="none" w:sz="0" w:space="0" w:color="auto"/>
        <w:right w:val="none" w:sz="0" w:space="0" w:color="auto"/>
      </w:divBdr>
    </w:div>
    <w:div w:id="212738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22127" TargetMode="External"/><Relationship Id="rId13" Type="http://schemas.openxmlformats.org/officeDocument/2006/relationships/hyperlink" Target="http://tfsprod.mef.gov.it/tfs/cloudify-noipa/WorkItemTracking/workitem.aspx?artifactMoniker=22129&amp;Rev=68" TargetMode="External"/><Relationship Id="rId18" Type="http://schemas.openxmlformats.org/officeDocument/2006/relationships/hyperlink" Target="http://tfsprod.mef.gov.it/tfs/web/wi.aspx?pcguid=3386bb2f-8429-493a-9ac0-2b7a589ccf8c&amp;id=37514"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http://tfsprod.mef.gov.it/tfs/web/wi.aspx?pcguid=3386bb2f-8429-493a-9ac0-2b7a589ccf8c&amp;id=22129" TargetMode="External"/><Relationship Id="rId17" Type="http://schemas.openxmlformats.org/officeDocument/2006/relationships/hyperlink" Target="http://tfsprod.mef.gov.it/tfs/cloudify-noipa/WorkItemTracking/workitem.aspx?artifactMoniker=22179&amp;Rev=7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tfsprod.mef.gov.it/tfs/web/wi.aspx?pcguid=3386bb2f-8429-493a-9ac0-2b7a589ccf8c&amp;id=22179" TargetMode="Externa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22126&amp;Rev=107" TargetMode="External"/><Relationship Id="rId11" Type="http://schemas.openxmlformats.org/officeDocument/2006/relationships/hyperlink" Target="http://tfsprod.mef.gov.it/tfs/cloudify-noipa/WorkItemTracking/workitem.aspx?artifactMoniker=22128&amp;Rev=88" TargetMode="External"/><Relationship Id="rId24" Type="http://schemas.openxmlformats.org/officeDocument/2006/relationships/glossaryDocument" Target="glossary/document.xml"/><Relationship Id="rId5" Type="http://schemas.openxmlformats.org/officeDocument/2006/relationships/hyperlink" Target="http://tfsprod.mef.gov.it/tfs/web/wi.aspx?pcguid=3386bb2f-8429-493a-9ac0-2b7a589ccf8c&amp;id=22126" TargetMode="External"/><Relationship Id="rId15" Type="http://schemas.openxmlformats.org/officeDocument/2006/relationships/hyperlink" Target="http://tfsprod.mef.gov.it/tfs/cloudify-noipa/WorkItemTracking/workitem.aspx?artifactMoniker=22177&amp;Rev=75" TargetMode="External"/><Relationship Id="rId23" Type="http://schemas.openxmlformats.org/officeDocument/2006/relationships/fontTable" Target="fontTable.xml"/><Relationship Id="rId10" Type="http://schemas.openxmlformats.org/officeDocument/2006/relationships/hyperlink" Target="http://tfsprod.mef.gov.it/tfs/web/wi.aspx?pcguid=3386bb2f-8429-493a-9ac0-2b7a589ccf8c&amp;id=22128" TargetMode="External"/><Relationship Id="rId19" Type="http://schemas.openxmlformats.org/officeDocument/2006/relationships/hyperlink" Target="http://tfsprod.mef.gov.it/tfs/cloudify-noipa/WorkItemTracking/workitem.aspx?artifactMoniker=37514&amp;Rev=55" TargetMode="External"/><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22127&amp;Rev=76" TargetMode="External"/><Relationship Id="rId14" Type="http://schemas.openxmlformats.org/officeDocument/2006/relationships/hyperlink" Target="http://tfsprod.mef.gov.it/tfs/web/wi.aspx?pcguid=3386bb2f-8429-493a-9ac0-2b7a589ccf8c&amp;id=22177"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9FD50D58-E8E3-46D5-AA4F-088CD66403B0}"/>
      </w:docPartPr>
      <w:docPartBody>
        <w:p w:rsidR="00C03758" w:rsidRDefault="00C03758">
          <w:r w:rsidRPr="00B07D1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758"/>
    <w:rsid w:val="00C037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C037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5773</Words>
  <Characters>32908</Characters>
  <Application>Microsoft Office Word</Application>
  <DocSecurity>0</DocSecurity>
  <Lines>274</Lines>
  <Paragraphs>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2020-11-11T11:21:00Z</dcterms:created>
  <dcterms:modified xsi:type="dcterms:W3CDTF">2020-11-11T11:21:00Z</dcterms:modified>
</cp:coreProperties>
</file>